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BE867" w14:textId="7BB7D99D" w:rsidR="00054266" w:rsidRPr="00054266" w:rsidRDefault="00054266" w:rsidP="00054266">
      <w:pPr>
        <w:jc w:val="center"/>
        <w:rPr>
          <w:color w:val="70AD47" w:themeColor="accent6"/>
        </w:rPr>
      </w:pPr>
      <w:r w:rsidRPr="00054266">
        <w:rPr>
          <w:color w:val="70AD47" w:themeColor="accent6"/>
        </w:rPr>
        <w:t>P</w:t>
      </w:r>
      <w:r w:rsidR="00B30193" w:rsidRPr="00054266">
        <w:rPr>
          <w:color w:val="70AD47" w:themeColor="accent6"/>
        </w:rPr>
        <w:t xml:space="preserve">rocédure </w:t>
      </w:r>
      <w:r>
        <w:rPr>
          <w:color w:val="70AD47" w:themeColor="accent6"/>
        </w:rPr>
        <w:t xml:space="preserve">synthétisée </w:t>
      </w:r>
      <w:r w:rsidR="00B30193" w:rsidRPr="00054266">
        <w:rPr>
          <w:color w:val="70AD47" w:themeColor="accent6"/>
        </w:rPr>
        <w:t>d’attribution des Contrats doctoraux d’établissements (CDE)</w:t>
      </w:r>
    </w:p>
    <w:p w14:paraId="1EACD5F9" w14:textId="0C646755" w:rsidR="00B30193" w:rsidRPr="00054266" w:rsidRDefault="00054266" w:rsidP="00054266">
      <w:pPr>
        <w:jc w:val="center"/>
        <w:rPr>
          <w:color w:val="70AD47" w:themeColor="accent6"/>
        </w:rPr>
      </w:pPr>
      <w:r w:rsidRPr="00054266">
        <w:rPr>
          <w:color w:val="70AD47" w:themeColor="accent6"/>
        </w:rPr>
        <w:t xml:space="preserve">ED BS – </w:t>
      </w:r>
      <w:r w:rsidR="00FD79DC">
        <w:rPr>
          <w:color w:val="70AD47" w:themeColor="accent6"/>
        </w:rPr>
        <w:t>procédure</w:t>
      </w:r>
      <w:r w:rsidRPr="00054266">
        <w:rPr>
          <w:color w:val="70AD47" w:themeColor="accent6"/>
        </w:rPr>
        <w:t xml:space="preserve"> 202</w:t>
      </w:r>
      <w:r w:rsidR="00FD79DC">
        <w:rPr>
          <w:color w:val="70AD47" w:themeColor="accent6"/>
        </w:rPr>
        <w:t>4</w:t>
      </w:r>
    </w:p>
    <w:p w14:paraId="615A87C3" w14:textId="679962AF" w:rsidR="00216D98" w:rsidRDefault="00216D98" w:rsidP="00B747D5">
      <w:pPr>
        <w:jc w:val="both"/>
      </w:pPr>
    </w:p>
    <w:p w14:paraId="6E6FA549" w14:textId="77777777" w:rsidR="00B30193" w:rsidRDefault="00B30193" w:rsidP="00B747D5">
      <w:pPr>
        <w:jc w:val="both"/>
      </w:pPr>
    </w:p>
    <w:p w14:paraId="44C45A45" w14:textId="77777777" w:rsidR="00B30193" w:rsidRDefault="00B30193" w:rsidP="00B747D5">
      <w:pPr>
        <w:jc w:val="both"/>
      </w:pPr>
    </w:p>
    <w:p w14:paraId="7DF4147A" w14:textId="1370D616" w:rsidR="00B30193" w:rsidRDefault="00D8184C" w:rsidP="00B747D5">
      <w:pPr>
        <w:jc w:val="both"/>
      </w:pPr>
      <w:r>
        <w:t>Le déroulé de la procédure est le suivant </w:t>
      </w:r>
    </w:p>
    <w:p w14:paraId="40356A4D" w14:textId="77777777" w:rsidR="00D8184C" w:rsidRDefault="00D8184C" w:rsidP="00B747D5">
      <w:pPr>
        <w:jc w:val="both"/>
      </w:pPr>
    </w:p>
    <w:p w14:paraId="05285640" w14:textId="53731E2D" w:rsidR="00D8184C" w:rsidRPr="00C64831" w:rsidRDefault="00793076" w:rsidP="00B747D5">
      <w:pPr>
        <w:numPr>
          <w:ilvl w:val="0"/>
          <w:numId w:val="1"/>
        </w:numPr>
        <w:jc w:val="both"/>
        <w:rPr>
          <w:b/>
        </w:rPr>
      </w:pPr>
      <w:r>
        <w:rPr>
          <w:color w:val="00B050"/>
        </w:rPr>
        <w:t xml:space="preserve">23 </w:t>
      </w:r>
      <w:r w:rsidR="00D8184C" w:rsidRPr="00C64831">
        <w:rPr>
          <w:color w:val="00B050"/>
        </w:rPr>
        <w:t xml:space="preserve">Janvier au </w:t>
      </w:r>
      <w:r w:rsidR="007016E1">
        <w:rPr>
          <w:color w:val="00B050"/>
        </w:rPr>
        <w:t>29</w:t>
      </w:r>
      <w:r w:rsidR="00D8184C" w:rsidRPr="00C64831">
        <w:rPr>
          <w:color w:val="00B050"/>
        </w:rPr>
        <w:t xml:space="preserve"> mars : </w:t>
      </w:r>
      <w:r w:rsidR="00D8184C" w:rsidRPr="00FC2B39">
        <w:rPr>
          <w:b/>
          <w:bCs/>
        </w:rPr>
        <w:t>Appel aux sujets</w:t>
      </w:r>
      <w:r w:rsidR="00D8184C">
        <w:t xml:space="preserve"> </w:t>
      </w:r>
      <w:r w:rsidR="00C64831" w:rsidRPr="00C64831">
        <w:rPr>
          <w:b/>
        </w:rPr>
        <w:t>dans les laboratoires</w:t>
      </w:r>
    </w:p>
    <w:p w14:paraId="5907322B" w14:textId="4CDE972C" w:rsidR="00C64831" w:rsidRPr="00F76CC0" w:rsidRDefault="00C64831" w:rsidP="00C64831">
      <w:pPr>
        <w:numPr>
          <w:ilvl w:val="1"/>
          <w:numId w:val="1"/>
        </w:numPr>
        <w:jc w:val="both"/>
      </w:pPr>
      <w:r>
        <w:t xml:space="preserve">Chaque porteur de sujet </w:t>
      </w:r>
      <w:r w:rsidR="00F76CC0">
        <w:t>propose une</w:t>
      </w:r>
      <w:r>
        <w:t xml:space="preserve"> offre de thèse</w:t>
      </w:r>
      <w:r w:rsidR="00F76CC0">
        <w:t>.</w:t>
      </w:r>
    </w:p>
    <w:p w14:paraId="481B0238" w14:textId="29749BAB" w:rsidR="00A21D5E" w:rsidRDefault="00F76CC0" w:rsidP="00793076">
      <w:pPr>
        <w:numPr>
          <w:ilvl w:val="1"/>
          <w:numId w:val="1"/>
        </w:numPr>
        <w:jc w:val="both"/>
      </w:pPr>
      <w:r>
        <w:rPr>
          <w:bCs/>
        </w:rPr>
        <w:t>Les</w:t>
      </w:r>
      <w:r w:rsidRPr="00A21D5E">
        <w:rPr>
          <w:bCs/>
        </w:rPr>
        <w:t xml:space="preserve"> </w:t>
      </w:r>
      <w:r>
        <w:rPr>
          <w:bCs/>
        </w:rPr>
        <w:t xml:space="preserve">sujets reçoivent l’accord de la </w:t>
      </w:r>
      <w:r w:rsidRPr="00A21D5E">
        <w:rPr>
          <w:bCs/>
        </w:rPr>
        <w:t>direction des laboratoires</w:t>
      </w:r>
      <w:r>
        <w:rPr>
          <w:bCs/>
        </w:rPr>
        <w:t xml:space="preserve"> (signature de la fiche encadrement obligatoire)</w:t>
      </w:r>
    </w:p>
    <w:p w14:paraId="68298A94" w14:textId="7EDE2151" w:rsidR="00A21D5E" w:rsidRPr="00D8184C" w:rsidRDefault="00A21D5E" w:rsidP="00793076">
      <w:pPr>
        <w:numPr>
          <w:ilvl w:val="0"/>
          <w:numId w:val="1"/>
        </w:numPr>
        <w:jc w:val="both"/>
      </w:pPr>
      <w:r w:rsidRPr="00C64831">
        <w:rPr>
          <w:color w:val="00B050"/>
        </w:rPr>
        <w:t>1</w:t>
      </w:r>
      <w:r w:rsidRPr="00C64831">
        <w:rPr>
          <w:color w:val="00B050"/>
          <w:vertAlign w:val="superscript"/>
        </w:rPr>
        <w:t>er</w:t>
      </w:r>
      <w:r w:rsidRPr="00C64831">
        <w:rPr>
          <w:color w:val="00B050"/>
        </w:rPr>
        <w:t xml:space="preserve"> avril au 1</w:t>
      </w:r>
      <w:r w:rsidR="007016E1">
        <w:rPr>
          <w:color w:val="00B050"/>
        </w:rPr>
        <w:t>9</w:t>
      </w:r>
      <w:r w:rsidRPr="00C64831">
        <w:rPr>
          <w:color w:val="00B050"/>
        </w:rPr>
        <w:t xml:space="preserve"> avril :</w:t>
      </w:r>
      <w:r>
        <w:t xml:space="preserve"> </w:t>
      </w:r>
      <w:r w:rsidR="00F76CC0">
        <w:rPr>
          <w:b/>
        </w:rPr>
        <w:t>Validation des sujets par l’</w:t>
      </w:r>
      <w:r w:rsidR="00793076">
        <w:rPr>
          <w:b/>
        </w:rPr>
        <w:t>École</w:t>
      </w:r>
      <w:r w:rsidR="00F76CC0">
        <w:rPr>
          <w:b/>
        </w:rPr>
        <w:t xml:space="preserve"> Doctorale</w:t>
      </w:r>
      <w:r w:rsidR="00793076">
        <w:rPr>
          <w:b/>
        </w:rPr>
        <w:t> </w:t>
      </w:r>
    </w:p>
    <w:p w14:paraId="2A9FBAD4" w14:textId="2AA6FCB0" w:rsidR="005B4A58" w:rsidRDefault="00D8184C" w:rsidP="00B747D5">
      <w:pPr>
        <w:numPr>
          <w:ilvl w:val="0"/>
          <w:numId w:val="1"/>
        </w:numPr>
        <w:jc w:val="both"/>
      </w:pPr>
      <w:r w:rsidRPr="00857B95">
        <w:rPr>
          <w:color w:val="00B050"/>
        </w:rPr>
        <w:t>1</w:t>
      </w:r>
      <w:r w:rsidR="007016E1">
        <w:rPr>
          <w:color w:val="00B050"/>
        </w:rPr>
        <w:t xml:space="preserve">9 </w:t>
      </w:r>
      <w:r w:rsidRPr="00857B95">
        <w:rPr>
          <w:color w:val="00B050"/>
        </w:rPr>
        <w:t xml:space="preserve">avril au </w:t>
      </w:r>
      <w:r w:rsidR="007016E1">
        <w:rPr>
          <w:color w:val="00B050"/>
        </w:rPr>
        <w:t>20</w:t>
      </w:r>
      <w:r w:rsidRPr="00857B95">
        <w:rPr>
          <w:color w:val="00B050"/>
        </w:rPr>
        <w:t xml:space="preserve"> </w:t>
      </w:r>
      <w:r w:rsidR="00A21D5E" w:rsidRPr="00857B95">
        <w:rPr>
          <w:color w:val="00B050"/>
        </w:rPr>
        <w:t>mai</w:t>
      </w:r>
      <w:r w:rsidR="00050F8C" w:rsidRPr="00857B95">
        <w:t> </w:t>
      </w:r>
      <w:r w:rsidR="00050F8C" w:rsidRPr="00857B95">
        <w:rPr>
          <w:color w:val="00B050"/>
        </w:rPr>
        <w:t>:</w:t>
      </w:r>
      <w:r w:rsidR="00050F8C">
        <w:t xml:space="preserve"> </w:t>
      </w:r>
      <w:r w:rsidR="00FC2B39" w:rsidRPr="00FC2B39">
        <w:rPr>
          <w:b/>
          <w:bCs/>
        </w:rPr>
        <w:t>O</w:t>
      </w:r>
      <w:r w:rsidR="00050F8C" w:rsidRPr="00FC2B39">
        <w:rPr>
          <w:b/>
          <w:bCs/>
        </w:rPr>
        <w:t>uverture des candidatures</w:t>
      </w:r>
      <w:r w:rsidR="00D448DD">
        <w:rPr>
          <w:b/>
          <w:bCs/>
        </w:rPr>
        <w:t xml:space="preserve"> = publication des sujets de thèse sur TEBL</w:t>
      </w:r>
    </w:p>
    <w:p w14:paraId="56DE9DAC" w14:textId="035F41F5" w:rsidR="005B4A58" w:rsidRDefault="00FA6A3E" w:rsidP="00F76CC0">
      <w:pPr>
        <w:numPr>
          <w:ilvl w:val="1"/>
          <w:numId w:val="1"/>
        </w:numPr>
        <w:jc w:val="both"/>
      </w:pPr>
      <w:r>
        <w:t xml:space="preserve"> </w:t>
      </w:r>
      <w:r w:rsidR="00F76CC0">
        <w:t xml:space="preserve">Les candidat.es se </w:t>
      </w:r>
      <w:r w:rsidR="00740463">
        <w:t>positionne</w:t>
      </w:r>
      <w:r w:rsidR="004A7341">
        <w:t>nt</w:t>
      </w:r>
      <w:r w:rsidR="00740463">
        <w:t xml:space="preserve"> </w:t>
      </w:r>
      <w:r w:rsidR="00022FAE">
        <w:t>sur un sujet</w:t>
      </w:r>
    </w:p>
    <w:p w14:paraId="40FCB8CF" w14:textId="77777777" w:rsidR="00022FAE" w:rsidRDefault="00022FAE" w:rsidP="00022FAE">
      <w:pPr>
        <w:numPr>
          <w:ilvl w:val="1"/>
          <w:numId w:val="1"/>
        </w:numPr>
        <w:jc w:val="both"/>
      </w:pPr>
      <w:r>
        <w:t xml:space="preserve">Dossier demandé aux candidat.es à déposer dans TEBL : </w:t>
      </w:r>
    </w:p>
    <w:p w14:paraId="3A4AAECC" w14:textId="77777777" w:rsidR="00022FAE" w:rsidRDefault="00022FAE" w:rsidP="00022FAE">
      <w:pPr>
        <w:numPr>
          <w:ilvl w:val="2"/>
          <w:numId w:val="1"/>
        </w:numPr>
        <w:jc w:val="both"/>
      </w:pPr>
      <w:proofErr w:type="gramStart"/>
      <w:r>
        <w:t>un</w:t>
      </w:r>
      <w:proofErr w:type="gramEnd"/>
      <w:r>
        <w:t xml:space="preserve"> CV mentionnant clairement les notes et classements </w:t>
      </w:r>
    </w:p>
    <w:p w14:paraId="5E209A87" w14:textId="77777777" w:rsidR="00022FAE" w:rsidRDefault="00022FAE" w:rsidP="00022FAE">
      <w:pPr>
        <w:numPr>
          <w:ilvl w:val="2"/>
          <w:numId w:val="1"/>
        </w:numPr>
        <w:jc w:val="both"/>
      </w:pPr>
      <w:proofErr w:type="gramStart"/>
      <w:r>
        <w:t>les</w:t>
      </w:r>
      <w:proofErr w:type="gramEnd"/>
      <w:r>
        <w:t xml:space="preserve"> attestations de classements et relevés de notes</w:t>
      </w:r>
    </w:p>
    <w:p w14:paraId="5EE97039" w14:textId="5379C66F" w:rsidR="00D42F31" w:rsidRDefault="00D42F31" w:rsidP="00022FAE">
      <w:pPr>
        <w:numPr>
          <w:ilvl w:val="2"/>
          <w:numId w:val="1"/>
        </w:numPr>
        <w:jc w:val="both"/>
      </w:pPr>
      <w:r>
        <w:t>Résumé du projet de recherche de Master 2</w:t>
      </w:r>
    </w:p>
    <w:p w14:paraId="42750300" w14:textId="6CAF3F59" w:rsidR="000E0DE2" w:rsidRPr="00050F8C" w:rsidRDefault="00D42F31" w:rsidP="00793076">
      <w:pPr>
        <w:numPr>
          <w:ilvl w:val="2"/>
          <w:numId w:val="1"/>
        </w:numPr>
        <w:jc w:val="both"/>
      </w:pPr>
      <w:r>
        <w:t>Lettre de motivation</w:t>
      </w:r>
    </w:p>
    <w:p w14:paraId="7E1C7E9F" w14:textId="73516A28" w:rsidR="005B4A58" w:rsidRPr="00D8184C" w:rsidRDefault="007016E1" w:rsidP="00793076">
      <w:pPr>
        <w:numPr>
          <w:ilvl w:val="0"/>
          <w:numId w:val="1"/>
        </w:numPr>
        <w:jc w:val="both"/>
      </w:pPr>
      <w:r>
        <w:rPr>
          <w:color w:val="00B050"/>
        </w:rPr>
        <w:t>20</w:t>
      </w:r>
      <w:r w:rsidR="00857B95" w:rsidRPr="00857B95">
        <w:rPr>
          <w:color w:val="00B050"/>
        </w:rPr>
        <w:t xml:space="preserve"> mai au </w:t>
      </w:r>
      <w:r w:rsidR="00EB038C">
        <w:rPr>
          <w:color w:val="00B050"/>
        </w:rPr>
        <w:t>31 mai</w:t>
      </w:r>
      <w:r w:rsidR="00857B95" w:rsidRPr="00857B95">
        <w:rPr>
          <w:color w:val="00B050"/>
        </w:rPr>
        <w:t xml:space="preserve"> à mi</w:t>
      </w:r>
      <w:r w:rsidR="00EB038C">
        <w:rPr>
          <w:color w:val="00B050"/>
        </w:rPr>
        <w:t>nuit</w:t>
      </w:r>
      <w:r w:rsidR="00FD79DC">
        <w:rPr>
          <w:color w:val="00B050"/>
        </w:rPr>
        <w:t xml:space="preserve"> </w:t>
      </w:r>
      <w:r w:rsidR="00857B95">
        <w:rPr>
          <w:b/>
          <w:bCs/>
        </w:rPr>
        <w:t xml:space="preserve">: </w:t>
      </w:r>
      <w:r w:rsidR="005B4A58">
        <w:rPr>
          <w:b/>
          <w:bCs/>
        </w:rPr>
        <w:t>Pré-sélection des c</w:t>
      </w:r>
      <w:r w:rsidR="00050F8C" w:rsidRPr="00FC2B39">
        <w:rPr>
          <w:b/>
          <w:bCs/>
        </w:rPr>
        <w:t>andidatures</w:t>
      </w:r>
      <w:r w:rsidR="005B4A58">
        <w:rPr>
          <w:b/>
          <w:bCs/>
        </w:rPr>
        <w:t xml:space="preserve"> par </w:t>
      </w:r>
      <w:r w:rsidR="00761957">
        <w:rPr>
          <w:b/>
          <w:bCs/>
        </w:rPr>
        <w:t>l’équipe encadrant</w:t>
      </w:r>
      <w:r w:rsidR="00793076">
        <w:rPr>
          <w:b/>
          <w:bCs/>
        </w:rPr>
        <w:t xml:space="preserve">. </w:t>
      </w:r>
      <w:r w:rsidR="00F76CC0" w:rsidRPr="00793076">
        <w:rPr>
          <w:b/>
          <w:bCs/>
        </w:rPr>
        <w:t>Ceci se fait intégralement via l’interface TEBL</w:t>
      </w:r>
    </w:p>
    <w:p w14:paraId="5B2739AF" w14:textId="36406691" w:rsidR="00831B70" w:rsidRPr="00EE109A" w:rsidRDefault="00EB038C" w:rsidP="00B747D5">
      <w:pPr>
        <w:numPr>
          <w:ilvl w:val="0"/>
          <w:numId w:val="1"/>
        </w:numPr>
        <w:jc w:val="both"/>
        <w:rPr>
          <w:color w:val="00B050"/>
        </w:rPr>
      </w:pPr>
      <w:r>
        <w:rPr>
          <w:color w:val="00B050"/>
        </w:rPr>
        <w:t>3</w:t>
      </w:r>
      <w:r w:rsidR="00857B95" w:rsidRPr="00831B70">
        <w:rPr>
          <w:color w:val="00B050"/>
        </w:rPr>
        <w:t xml:space="preserve"> juin au </w:t>
      </w:r>
      <w:r w:rsidR="00F76CC0">
        <w:rPr>
          <w:color w:val="00B050"/>
        </w:rPr>
        <w:t>1</w:t>
      </w:r>
      <w:r w:rsidR="00286250">
        <w:rPr>
          <w:color w:val="00B050"/>
        </w:rPr>
        <w:t>7</w:t>
      </w:r>
      <w:r w:rsidR="00857B95" w:rsidRPr="00831B70">
        <w:rPr>
          <w:color w:val="00B050"/>
        </w:rPr>
        <w:t xml:space="preserve"> juin</w:t>
      </w:r>
      <w:r w:rsidR="00857B95">
        <w:rPr>
          <w:b/>
          <w:bCs/>
          <w:color w:val="000000" w:themeColor="text1"/>
        </w:rPr>
        <w:t xml:space="preserve"> : </w:t>
      </w:r>
      <w:r w:rsidR="00022FAE">
        <w:rPr>
          <w:b/>
          <w:bCs/>
          <w:color w:val="000000" w:themeColor="text1"/>
        </w:rPr>
        <w:t>Finalisation du dossier</w:t>
      </w:r>
    </w:p>
    <w:p w14:paraId="43A85515" w14:textId="56023993" w:rsidR="00EE109A" w:rsidRDefault="00EE109A" w:rsidP="00EE109A">
      <w:pPr>
        <w:ind w:left="720"/>
        <w:jc w:val="both"/>
        <w:rPr>
          <w:b/>
          <w:bCs/>
          <w:color w:val="000000" w:themeColor="text1"/>
        </w:rPr>
      </w:pPr>
      <w:r w:rsidRPr="00EE109A">
        <w:rPr>
          <w:b/>
          <w:bCs/>
          <w:color w:val="000000" w:themeColor="text1"/>
        </w:rPr>
        <w:t>Dépôt le 9 juin, le dossier peut être complété jusqu’au 1</w:t>
      </w:r>
      <w:r w:rsidR="00286250">
        <w:rPr>
          <w:b/>
          <w:bCs/>
          <w:color w:val="000000" w:themeColor="text1"/>
        </w:rPr>
        <w:t>7</w:t>
      </w:r>
      <w:r w:rsidRPr="00EE109A">
        <w:rPr>
          <w:b/>
          <w:bCs/>
          <w:color w:val="000000" w:themeColor="text1"/>
        </w:rPr>
        <w:t xml:space="preserve"> juin</w:t>
      </w:r>
      <w:r>
        <w:rPr>
          <w:b/>
          <w:bCs/>
          <w:color w:val="000000" w:themeColor="text1"/>
        </w:rPr>
        <w:t xml:space="preserve"> à 12h00</w:t>
      </w:r>
    </w:p>
    <w:p w14:paraId="16D6FE2F" w14:textId="0C90683D" w:rsidR="00022FAE" w:rsidRDefault="00022FAE" w:rsidP="00022FAE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Le</w:t>
      </w:r>
      <w:r w:rsidR="004A7341">
        <w:rPr>
          <w:b/>
          <w:bCs/>
          <w:color w:val="000000" w:themeColor="text1"/>
        </w:rPr>
        <w:t>/la</w:t>
      </w:r>
      <w:r>
        <w:rPr>
          <w:b/>
          <w:bCs/>
          <w:color w:val="000000" w:themeColor="text1"/>
        </w:rPr>
        <w:t xml:space="preserve"> </w:t>
      </w:r>
      <w:proofErr w:type="spellStart"/>
      <w:proofErr w:type="gramStart"/>
      <w:r>
        <w:rPr>
          <w:b/>
          <w:bCs/>
          <w:color w:val="000000" w:themeColor="text1"/>
        </w:rPr>
        <w:t>candidat</w:t>
      </w:r>
      <w:r w:rsidR="004A7341">
        <w:rPr>
          <w:b/>
          <w:bCs/>
          <w:color w:val="000000" w:themeColor="text1"/>
        </w:rPr>
        <w:t>.e</w:t>
      </w:r>
      <w:proofErr w:type="spellEnd"/>
      <w:proofErr w:type="gramEnd"/>
      <w:r>
        <w:rPr>
          <w:b/>
          <w:bCs/>
          <w:color w:val="000000" w:themeColor="text1"/>
        </w:rPr>
        <w:t xml:space="preserve"> ajoute : </w:t>
      </w:r>
    </w:p>
    <w:p w14:paraId="22246A16" w14:textId="17CA9ACB" w:rsidR="00022FAE" w:rsidRDefault="00022FAE" w:rsidP="00022FAE">
      <w:pPr>
        <w:jc w:val="both"/>
      </w:pPr>
      <w:r>
        <w:t xml:space="preserve">-&gt;un résumé du projet de thèse de 2 pages maximum (format </w:t>
      </w:r>
      <w:proofErr w:type="spellStart"/>
      <w:r>
        <w:t>pdf</w:t>
      </w:r>
      <w:proofErr w:type="spellEnd"/>
      <w:r>
        <w:t xml:space="preserve">, en français ou anglais). Ce résumé permet principalement d’attribuer </w:t>
      </w:r>
      <w:proofErr w:type="spellStart"/>
      <w:proofErr w:type="gramStart"/>
      <w:r>
        <w:t>un.e</w:t>
      </w:r>
      <w:proofErr w:type="spellEnd"/>
      <w:proofErr w:type="gramEnd"/>
      <w:r>
        <w:t xml:space="preserve"> rapporteur/rapportrice adapté. Celui</w:t>
      </w:r>
      <w:r w:rsidR="004A7341">
        <w:t>-ci</w:t>
      </w:r>
      <w:r>
        <w:t xml:space="preserve"> est préparé avec l’</w:t>
      </w:r>
      <w:proofErr w:type="spellStart"/>
      <w:r>
        <w:t>encadrant.e</w:t>
      </w:r>
      <w:proofErr w:type="spellEnd"/>
      <w:r>
        <w:t>.</w:t>
      </w:r>
    </w:p>
    <w:p w14:paraId="6D436615" w14:textId="69D24DA5" w:rsidR="00EE109A" w:rsidRPr="00793076" w:rsidRDefault="00022FAE" w:rsidP="00793076">
      <w:pPr>
        <w:jc w:val="both"/>
      </w:pPr>
      <w:r>
        <w:t xml:space="preserve">-&gt; les dernières notes et classements dont il </w:t>
      </w:r>
      <w:r w:rsidR="00740463">
        <w:t xml:space="preserve">ou elle </w:t>
      </w:r>
      <w:r>
        <w:t>dispos</w:t>
      </w:r>
      <w:r w:rsidR="00740463">
        <w:t>e</w:t>
      </w:r>
    </w:p>
    <w:p w14:paraId="3C4A47F8" w14:textId="56941EDA" w:rsidR="00EE109A" w:rsidRPr="00EE109A" w:rsidRDefault="00EE109A" w:rsidP="00EE109A">
      <w:pPr>
        <w:numPr>
          <w:ilvl w:val="0"/>
          <w:numId w:val="1"/>
        </w:numPr>
        <w:jc w:val="both"/>
        <w:rPr>
          <w:color w:val="00B050"/>
        </w:rPr>
      </w:pPr>
      <w:r>
        <w:rPr>
          <w:color w:val="00B050"/>
        </w:rPr>
        <w:t>Le</w:t>
      </w:r>
      <w:r w:rsidR="00724FDE">
        <w:rPr>
          <w:color w:val="00B050"/>
        </w:rPr>
        <w:t>s</w:t>
      </w:r>
      <w:r>
        <w:rPr>
          <w:color w:val="00B050"/>
        </w:rPr>
        <w:t xml:space="preserve"> </w:t>
      </w:r>
      <w:r w:rsidR="00286250">
        <w:rPr>
          <w:color w:val="00B050"/>
        </w:rPr>
        <w:t>24</w:t>
      </w:r>
      <w:r w:rsidR="00724FDE">
        <w:rPr>
          <w:color w:val="00B050"/>
        </w:rPr>
        <w:t xml:space="preserve"> </w:t>
      </w:r>
      <w:r>
        <w:rPr>
          <w:color w:val="00B050"/>
        </w:rPr>
        <w:t>juin</w:t>
      </w:r>
      <w:r>
        <w:rPr>
          <w:b/>
          <w:bCs/>
          <w:color w:val="000000" w:themeColor="text1"/>
        </w:rPr>
        <w:t xml:space="preserve"> : étape d’admissibilité </w:t>
      </w:r>
    </w:p>
    <w:p w14:paraId="768DB488" w14:textId="641C35AE" w:rsidR="00831B70" w:rsidRPr="00B747D5" w:rsidRDefault="00857B95" w:rsidP="00793076">
      <w:pPr>
        <w:jc w:val="both"/>
        <w:rPr>
          <w:color w:val="000000" w:themeColor="text1"/>
        </w:rPr>
      </w:pPr>
      <w:r>
        <w:rPr>
          <w:color w:val="000000" w:themeColor="text1"/>
        </w:rPr>
        <w:t>U</w:t>
      </w:r>
      <w:r w:rsidR="00050F8C" w:rsidRPr="00B747D5">
        <w:rPr>
          <w:color w:val="000000" w:themeColor="text1"/>
        </w:rPr>
        <w:t>n classement des candidatures est effectué</w:t>
      </w:r>
      <w:r w:rsidR="00FC2B39" w:rsidRPr="00B747D5">
        <w:rPr>
          <w:color w:val="000000" w:themeColor="text1"/>
        </w:rPr>
        <w:t xml:space="preserve"> par la </w:t>
      </w:r>
      <w:r w:rsidR="00793076">
        <w:rPr>
          <w:color w:val="000000" w:themeColor="text1"/>
        </w:rPr>
        <w:t xml:space="preserve">CSS puis la CR </w:t>
      </w:r>
    </w:p>
    <w:p w14:paraId="4F5FB40A" w14:textId="77777777" w:rsidR="00831B70" w:rsidRDefault="00831B70" w:rsidP="00831B70">
      <w:pPr>
        <w:ind w:left="1440"/>
        <w:jc w:val="both"/>
        <w:rPr>
          <w:color w:val="000000" w:themeColor="text1"/>
        </w:rPr>
      </w:pPr>
    </w:p>
    <w:p w14:paraId="54C8147D" w14:textId="5CA44AAC" w:rsidR="00831B70" w:rsidRDefault="00EB038C" w:rsidP="00B747D5">
      <w:pPr>
        <w:numPr>
          <w:ilvl w:val="0"/>
          <w:numId w:val="1"/>
        </w:numPr>
        <w:jc w:val="both"/>
      </w:pPr>
      <w:r>
        <w:rPr>
          <w:color w:val="00B050"/>
        </w:rPr>
        <w:t>1</w:t>
      </w:r>
      <w:r w:rsidR="00EE109A">
        <w:rPr>
          <w:color w:val="00B050"/>
        </w:rPr>
        <w:t xml:space="preserve"> </w:t>
      </w:r>
      <w:r>
        <w:rPr>
          <w:color w:val="00B050"/>
        </w:rPr>
        <w:t>et 2</w:t>
      </w:r>
      <w:r w:rsidR="00EE109A">
        <w:rPr>
          <w:color w:val="00B050"/>
        </w:rPr>
        <w:t xml:space="preserve"> jui</w:t>
      </w:r>
      <w:r>
        <w:rPr>
          <w:color w:val="00B050"/>
        </w:rPr>
        <w:t>llet</w:t>
      </w:r>
      <w:r w:rsidR="00EE109A">
        <w:rPr>
          <w:color w:val="00B050"/>
        </w:rPr>
        <w:t xml:space="preserve"> </w:t>
      </w:r>
      <w:r w:rsidR="00857B95">
        <w:rPr>
          <w:b/>
          <w:bCs/>
        </w:rPr>
        <w:t xml:space="preserve">: </w:t>
      </w:r>
      <w:r w:rsidR="00050F8C" w:rsidRPr="00FC2B39">
        <w:rPr>
          <w:b/>
          <w:bCs/>
        </w:rPr>
        <w:t>P</w:t>
      </w:r>
      <w:r w:rsidR="00D8184C" w:rsidRPr="00FC2B39">
        <w:rPr>
          <w:b/>
          <w:bCs/>
        </w:rPr>
        <w:t>hase audition</w:t>
      </w:r>
    </w:p>
    <w:p w14:paraId="624995CE" w14:textId="2030464D" w:rsidR="006B39C5" w:rsidRDefault="00857B95" w:rsidP="00831B70">
      <w:pPr>
        <w:numPr>
          <w:ilvl w:val="1"/>
          <w:numId w:val="1"/>
        </w:numPr>
        <w:jc w:val="both"/>
      </w:pPr>
      <w:r>
        <w:t>U</w:t>
      </w:r>
      <w:r w:rsidR="00D8184C" w:rsidRPr="00050F8C">
        <w:t xml:space="preserve">n jury unique, mixte (interne/externe à NU, diversité des expertises, parité H/F) </w:t>
      </w:r>
      <w:r w:rsidR="00050F8C">
        <w:t xml:space="preserve">auditionne les candidat.es et les classe, </w:t>
      </w:r>
      <w:r w:rsidR="00050F8C" w:rsidRPr="00050F8C">
        <w:t>sans ex aequo, quel que soit leur choix d’affectation</w:t>
      </w:r>
      <w:r w:rsidR="00050F8C">
        <w:t xml:space="preserve">. </w:t>
      </w:r>
      <w:r w:rsidR="00B40C82">
        <w:t xml:space="preserve">Le jury </w:t>
      </w:r>
      <w:r w:rsidR="00D448DD">
        <w:t xml:space="preserve">est </w:t>
      </w:r>
      <w:r w:rsidR="00B40C82">
        <w:t>constitué suite à un appel à candidature dans le périmètre de l’ED. Tous les jurys signe</w:t>
      </w:r>
      <w:r w:rsidR="00D448DD">
        <w:t>nt</w:t>
      </w:r>
      <w:r w:rsidR="00B40C82">
        <w:t xml:space="preserve"> un</w:t>
      </w:r>
      <w:r w:rsidR="00D448DD">
        <w:t>e</w:t>
      </w:r>
      <w:r w:rsidR="00B40C82">
        <w:t xml:space="preserve"> charte déontologique (objectivité, gestion des conflits d’</w:t>
      </w:r>
      <w:r w:rsidR="00D448DD">
        <w:t>intérêts</w:t>
      </w:r>
      <w:r w:rsidR="00B40C82">
        <w:t>…)</w:t>
      </w:r>
    </w:p>
    <w:p w14:paraId="1A34AE2E" w14:textId="14335EE5" w:rsidR="006B39C5" w:rsidRDefault="00050F8C" w:rsidP="006B39C5">
      <w:pPr>
        <w:numPr>
          <w:ilvl w:val="1"/>
          <w:numId w:val="1"/>
        </w:numPr>
        <w:jc w:val="both"/>
      </w:pPr>
      <w:r>
        <w:t xml:space="preserve">Le classement </w:t>
      </w:r>
      <w:r w:rsidR="0047351C">
        <w:t xml:space="preserve">des candidat.es éligibles </w:t>
      </w:r>
      <w:r w:rsidR="00D8184C" w:rsidRPr="00050F8C">
        <w:t>pren</w:t>
      </w:r>
      <w:r>
        <w:t>d</w:t>
      </w:r>
      <w:r w:rsidR="00D8184C" w:rsidRPr="00050F8C">
        <w:t xml:space="preserve"> en compte l’audition et la note académique (60% et 40% de la note respectivement</w:t>
      </w:r>
      <w:r>
        <w:t>)</w:t>
      </w:r>
    </w:p>
    <w:p w14:paraId="61293735" w14:textId="42752C05" w:rsidR="00050F8C" w:rsidRDefault="00050F8C" w:rsidP="006B39C5">
      <w:pPr>
        <w:numPr>
          <w:ilvl w:val="1"/>
          <w:numId w:val="1"/>
        </w:numPr>
        <w:jc w:val="both"/>
      </w:pPr>
      <w:r w:rsidRPr="00050F8C">
        <w:t xml:space="preserve">Si le jury considère </w:t>
      </w:r>
      <w:proofErr w:type="gramStart"/>
      <w:r w:rsidRPr="00050F8C">
        <w:t>qu’</w:t>
      </w:r>
      <w:proofErr w:type="spellStart"/>
      <w:r w:rsidRPr="00050F8C">
        <w:t>un.e</w:t>
      </w:r>
      <w:proofErr w:type="spellEnd"/>
      <w:proofErr w:type="gramEnd"/>
      <w:r w:rsidRPr="00050F8C">
        <w:t xml:space="preserve"> </w:t>
      </w:r>
      <w:proofErr w:type="spellStart"/>
      <w:r w:rsidRPr="00050F8C">
        <w:t>candidat.e</w:t>
      </w:r>
      <w:proofErr w:type="spellEnd"/>
      <w:r w:rsidRPr="00050F8C">
        <w:t xml:space="preserve"> ne remplit pas les critères d’entrée en doctorat, il/elle sera déclarée non</w:t>
      </w:r>
      <w:r w:rsidR="0047351C">
        <w:t xml:space="preserve">-éligible </w:t>
      </w:r>
      <w:r>
        <w:t xml:space="preserve">à la suite de l’audition et ne sera pas </w:t>
      </w:r>
      <w:proofErr w:type="spellStart"/>
      <w:r>
        <w:t>classé.e</w:t>
      </w:r>
      <w:proofErr w:type="spellEnd"/>
      <w:r w:rsidR="004327FE">
        <w:t>.</w:t>
      </w:r>
    </w:p>
    <w:p w14:paraId="27942B12" w14:textId="77777777" w:rsidR="006B39C5" w:rsidRPr="00B747D5" w:rsidRDefault="006B39C5" w:rsidP="006B39C5">
      <w:pPr>
        <w:ind w:left="1440"/>
        <w:jc w:val="both"/>
      </w:pPr>
    </w:p>
    <w:p w14:paraId="16C8D54A" w14:textId="0F324D2D" w:rsidR="00857B95" w:rsidRDefault="00EB038C" w:rsidP="006B39C5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  <w:color w:val="00B050"/>
        </w:rPr>
        <w:t>3 juillet</w:t>
      </w:r>
      <w:r w:rsidR="00EE109A">
        <w:rPr>
          <w:b/>
          <w:bCs/>
          <w:color w:val="00B050"/>
        </w:rPr>
        <w:t xml:space="preserve"> après validation par le conseil de l’ED</w:t>
      </w:r>
      <w:r w:rsidR="00857B95" w:rsidRPr="00857B95">
        <w:rPr>
          <w:b/>
          <w:bCs/>
          <w:color w:val="00B050"/>
        </w:rPr>
        <w:t xml:space="preserve"> : </w:t>
      </w:r>
      <w:r w:rsidR="00B747D5" w:rsidRPr="00B747D5">
        <w:rPr>
          <w:b/>
          <w:bCs/>
        </w:rPr>
        <w:t xml:space="preserve">L’ED </w:t>
      </w:r>
      <w:r w:rsidR="006B39C5">
        <w:rPr>
          <w:b/>
          <w:bCs/>
        </w:rPr>
        <w:t xml:space="preserve">transmet le classement aux </w:t>
      </w:r>
      <w:r w:rsidR="000E0DE2">
        <w:rPr>
          <w:b/>
          <w:bCs/>
        </w:rPr>
        <w:t xml:space="preserve">directions des </w:t>
      </w:r>
      <w:r w:rsidR="006B39C5">
        <w:rPr>
          <w:b/>
          <w:bCs/>
        </w:rPr>
        <w:t>laboratoires</w:t>
      </w:r>
      <w:r w:rsidR="00294419">
        <w:rPr>
          <w:b/>
          <w:bCs/>
        </w:rPr>
        <w:t xml:space="preserve"> </w:t>
      </w:r>
    </w:p>
    <w:p w14:paraId="674A98D7" w14:textId="77777777" w:rsidR="00570D37" w:rsidRDefault="00570D37" w:rsidP="00570D37">
      <w:pPr>
        <w:ind w:left="360"/>
        <w:jc w:val="both"/>
        <w:rPr>
          <w:b/>
          <w:bCs/>
        </w:rPr>
      </w:pPr>
    </w:p>
    <w:p w14:paraId="59B0532F" w14:textId="616D13FF" w:rsidR="006B39C5" w:rsidRDefault="00EB038C" w:rsidP="006B39C5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  <w:color w:val="00B050"/>
        </w:rPr>
        <w:lastRenderedPageBreak/>
        <w:t>4</w:t>
      </w:r>
      <w:r w:rsidR="00EE109A">
        <w:rPr>
          <w:b/>
          <w:bCs/>
          <w:color w:val="00B050"/>
        </w:rPr>
        <w:t xml:space="preserve"> Juillet</w:t>
      </w:r>
      <w:r w:rsidR="00857B95">
        <w:rPr>
          <w:b/>
          <w:bCs/>
          <w:color w:val="00B050"/>
        </w:rPr>
        <w:t> :</w:t>
      </w:r>
      <w:r w:rsidR="00857B95">
        <w:rPr>
          <w:b/>
          <w:bCs/>
        </w:rPr>
        <w:t xml:space="preserve"> </w:t>
      </w:r>
      <w:r w:rsidR="006B39C5">
        <w:rPr>
          <w:b/>
          <w:bCs/>
        </w:rPr>
        <w:t xml:space="preserve">Les DU doivent transmettre à l’ED </w:t>
      </w:r>
      <w:r w:rsidR="00294419">
        <w:rPr>
          <w:b/>
          <w:bCs/>
        </w:rPr>
        <w:t>le classement de l’ensemble des candidat.es éligibles à un CDE, sans ex-aequo</w:t>
      </w:r>
    </w:p>
    <w:p w14:paraId="7ABB8674" w14:textId="2EF5C50B" w:rsidR="00B37E2A" w:rsidRPr="00E07479" w:rsidRDefault="00B37E2A" w:rsidP="00B37E2A">
      <w:pPr>
        <w:numPr>
          <w:ilvl w:val="1"/>
          <w:numId w:val="1"/>
        </w:numPr>
        <w:jc w:val="both"/>
        <w:rPr>
          <w:b/>
          <w:bCs/>
        </w:rPr>
      </w:pPr>
      <w:r>
        <w:rPr>
          <w:bCs/>
        </w:rPr>
        <w:t>La présence sur la liste</w:t>
      </w:r>
      <w:r w:rsidR="00294419">
        <w:rPr>
          <w:bCs/>
        </w:rPr>
        <w:t xml:space="preserve"> des candidat.es éligibles</w:t>
      </w:r>
      <w:r>
        <w:rPr>
          <w:bCs/>
        </w:rPr>
        <w:t xml:space="preserve"> est une condition </w:t>
      </w:r>
      <w:proofErr w:type="spellStart"/>
      <w:r>
        <w:rPr>
          <w:bCs/>
        </w:rPr>
        <w:t>sinequanone</w:t>
      </w:r>
      <w:proofErr w:type="spellEnd"/>
      <w:r>
        <w:rPr>
          <w:bCs/>
        </w:rPr>
        <w:t xml:space="preserve"> pour obtenir un CDE</w:t>
      </w:r>
    </w:p>
    <w:p w14:paraId="71DA639D" w14:textId="7A4B5EE9" w:rsidR="00B37E2A" w:rsidRPr="00E07479" w:rsidRDefault="006B39C5" w:rsidP="00570D37">
      <w:pPr>
        <w:numPr>
          <w:ilvl w:val="1"/>
          <w:numId w:val="1"/>
        </w:numPr>
        <w:jc w:val="both"/>
        <w:rPr>
          <w:b/>
          <w:bCs/>
        </w:rPr>
      </w:pPr>
      <w:proofErr w:type="gramStart"/>
      <w:r w:rsidRPr="006B39C5">
        <w:rPr>
          <w:bCs/>
        </w:rPr>
        <w:t>les</w:t>
      </w:r>
      <w:proofErr w:type="gramEnd"/>
      <w:r w:rsidRPr="006B39C5">
        <w:rPr>
          <w:bCs/>
        </w:rPr>
        <w:t xml:space="preserve"> DU s’engagent à respecter le classement émis par l’ED (admissibles pour un CDE) pour abonder leur quota de CDE. </w:t>
      </w:r>
      <w:r w:rsidR="00B37E2A" w:rsidRPr="00570D37">
        <w:rPr>
          <w:bCs/>
        </w:rPr>
        <w:t>Le</w:t>
      </w:r>
      <w:r w:rsidR="000E0DE2">
        <w:rPr>
          <w:bCs/>
        </w:rPr>
        <w:t>/</w:t>
      </w:r>
      <w:r w:rsidR="00B37E2A" w:rsidRPr="00570D37">
        <w:rPr>
          <w:bCs/>
        </w:rPr>
        <w:t xml:space="preserve"> la DU désigne le ou les candidat</w:t>
      </w:r>
      <w:r w:rsidR="000E0DE2">
        <w:rPr>
          <w:bCs/>
        </w:rPr>
        <w:t>.</w:t>
      </w:r>
      <w:r w:rsidR="00B37E2A" w:rsidRPr="00570D37">
        <w:rPr>
          <w:bCs/>
        </w:rPr>
        <w:t>es les mieux classés de son laboratoire</w:t>
      </w:r>
      <w:r w:rsidR="000E0DE2">
        <w:rPr>
          <w:bCs/>
        </w:rPr>
        <w:t>.</w:t>
      </w:r>
    </w:p>
    <w:p w14:paraId="6A1358A1" w14:textId="566E44F2" w:rsidR="00570D37" w:rsidRPr="00570D37" w:rsidRDefault="00570D37" w:rsidP="00570D37">
      <w:pPr>
        <w:numPr>
          <w:ilvl w:val="1"/>
          <w:numId w:val="1"/>
        </w:numPr>
        <w:jc w:val="both"/>
        <w:rPr>
          <w:b/>
          <w:bCs/>
        </w:rPr>
      </w:pPr>
      <w:r>
        <w:t xml:space="preserve">De fait, </w:t>
      </w:r>
      <w:proofErr w:type="spellStart"/>
      <w:proofErr w:type="gramStart"/>
      <w:r>
        <w:t>un.e</w:t>
      </w:r>
      <w:proofErr w:type="spellEnd"/>
      <w:proofErr w:type="gramEnd"/>
      <w:r>
        <w:t xml:space="preserve"> </w:t>
      </w:r>
      <w:proofErr w:type="spellStart"/>
      <w:r>
        <w:t>candidat.e</w:t>
      </w:r>
      <w:proofErr w:type="spellEnd"/>
      <w:r>
        <w:t xml:space="preserve"> </w:t>
      </w:r>
      <w:proofErr w:type="spellStart"/>
      <w:r>
        <w:t>classé</w:t>
      </w:r>
      <w:r w:rsidR="000E0DE2">
        <w:t>.e</w:t>
      </w:r>
      <w:proofErr w:type="spellEnd"/>
      <w:r>
        <w:t xml:space="preserve"> dans les 13 premiers n’a pas la </w:t>
      </w:r>
      <w:r w:rsidR="000E0DE2">
        <w:t xml:space="preserve">garantie </w:t>
      </w:r>
      <w:r>
        <w:t>d’</w:t>
      </w:r>
      <w:r w:rsidR="000E0DE2">
        <w:t xml:space="preserve">être </w:t>
      </w:r>
      <w:proofErr w:type="spellStart"/>
      <w:r w:rsidR="000E0DE2">
        <w:t>lauréat.e</w:t>
      </w:r>
      <w:proofErr w:type="spellEnd"/>
      <w:r w:rsidR="000E0DE2">
        <w:t xml:space="preserve"> d’</w:t>
      </w:r>
      <w:r>
        <w:t xml:space="preserve">un CDE, cela dépend de son </w:t>
      </w:r>
      <w:r w:rsidR="000E0DE2">
        <w:t>inter</w:t>
      </w:r>
      <w:r>
        <w:t xml:space="preserve">classement par rapport aux autres candidat.es </w:t>
      </w:r>
      <w:r w:rsidR="004A7341">
        <w:t xml:space="preserve">au sein </w:t>
      </w:r>
      <w:r>
        <w:t xml:space="preserve">de son </w:t>
      </w:r>
      <w:r w:rsidR="004A7341">
        <w:t>unité</w:t>
      </w:r>
    </w:p>
    <w:p w14:paraId="44797252" w14:textId="7332894C" w:rsidR="00B37E2A" w:rsidRPr="00570D37" w:rsidRDefault="00B37E2A" w:rsidP="00B37E2A">
      <w:pPr>
        <w:numPr>
          <w:ilvl w:val="1"/>
          <w:numId w:val="1"/>
        </w:numPr>
        <w:jc w:val="both"/>
        <w:rPr>
          <w:b/>
          <w:bCs/>
        </w:rPr>
      </w:pPr>
      <w:r w:rsidRPr="006B39C5">
        <w:rPr>
          <w:bCs/>
        </w:rPr>
        <w:t xml:space="preserve">Dans le cas où le/la </w:t>
      </w:r>
      <w:proofErr w:type="spellStart"/>
      <w:proofErr w:type="gramStart"/>
      <w:r w:rsidRPr="006B39C5">
        <w:rPr>
          <w:bCs/>
        </w:rPr>
        <w:t>candidat.e</w:t>
      </w:r>
      <w:proofErr w:type="spellEnd"/>
      <w:proofErr w:type="gramEnd"/>
      <w:r w:rsidRPr="006B39C5">
        <w:rPr>
          <w:bCs/>
        </w:rPr>
        <w:t xml:space="preserve"> a obtenu un CD d’une autre source (FRM, Région, ITMO ...), alors le/la DU suit l’ordre de sa liste.</w:t>
      </w:r>
    </w:p>
    <w:p w14:paraId="3F093061" w14:textId="77777777" w:rsidR="00570D37" w:rsidRPr="00B37E2A" w:rsidRDefault="00570D37" w:rsidP="00570D37">
      <w:pPr>
        <w:ind w:left="1080"/>
        <w:jc w:val="both"/>
        <w:rPr>
          <w:b/>
          <w:bCs/>
        </w:rPr>
      </w:pPr>
    </w:p>
    <w:p w14:paraId="3FA9E8A1" w14:textId="6DC9D66A" w:rsidR="00857B95" w:rsidRPr="006B39C5" w:rsidRDefault="00EB038C" w:rsidP="00857B95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  <w:color w:val="00B050"/>
        </w:rPr>
        <w:t>5</w:t>
      </w:r>
      <w:r w:rsidR="00EE109A">
        <w:rPr>
          <w:b/>
          <w:bCs/>
          <w:color w:val="00B050"/>
        </w:rPr>
        <w:t xml:space="preserve"> Juillet</w:t>
      </w:r>
      <w:r w:rsidR="00857B95">
        <w:rPr>
          <w:b/>
          <w:bCs/>
          <w:color w:val="00B050"/>
        </w:rPr>
        <w:t xml:space="preserve"> : </w:t>
      </w:r>
      <w:r w:rsidR="00857B95">
        <w:rPr>
          <w:b/>
          <w:bCs/>
        </w:rPr>
        <w:t>Ces listes sont validées par l’établissement</w:t>
      </w:r>
      <w:r w:rsidR="00AA361D">
        <w:rPr>
          <w:b/>
          <w:bCs/>
        </w:rPr>
        <w:t xml:space="preserve"> (transmises par l’ED)</w:t>
      </w:r>
      <w:r w:rsidR="00857B95">
        <w:rPr>
          <w:b/>
          <w:bCs/>
        </w:rPr>
        <w:t>.</w:t>
      </w:r>
    </w:p>
    <w:p w14:paraId="6CF6AAC9" w14:textId="77777777" w:rsidR="006B39C5" w:rsidRPr="006B39C5" w:rsidRDefault="006B39C5" w:rsidP="006B39C5">
      <w:pPr>
        <w:ind w:left="1440"/>
        <w:jc w:val="both"/>
        <w:rPr>
          <w:b/>
          <w:bCs/>
        </w:rPr>
      </w:pPr>
    </w:p>
    <w:p w14:paraId="3131D9D0" w14:textId="3320BD69" w:rsidR="006B39C5" w:rsidRDefault="00EB038C" w:rsidP="006B39C5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  <w:color w:val="00B050"/>
        </w:rPr>
        <w:t>5</w:t>
      </w:r>
      <w:r w:rsidR="00EE109A">
        <w:rPr>
          <w:b/>
          <w:bCs/>
          <w:color w:val="00B050"/>
        </w:rPr>
        <w:t xml:space="preserve"> Juillet</w:t>
      </w:r>
      <w:r w:rsidR="00857B95">
        <w:rPr>
          <w:b/>
          <w:bCs/>
          <w:color w:val="00B050"/>
        </w:rPr>
        <w:t xml:space="preserve"> : </w:t>
      </w:r>
      <w:r w:rsidR="006B39C5">
        <w:rPr>
          <w:b/>
          <w:bCs/>
        </w:rPr>
        <w:t>Diffusion du</w:t>
      </w:r>
      <w:r w:rsidR="00B747D5" w:rsidRPr="00B747D5">
        <w:rPr>
          <w:b/>
          <w:bCs/>
        </w:rPr>
        <w:t xml:space="preserve"> classement</w:t>
      </w:r>
      <w:r w:rsidR="00B747D5">
        <w:rPr>
          <w:b/>
          <w:bCs/>
        </w:rPr>
        <w:t xml:space="preserve"> </w:t>
      </w:r>
      <w:r w:rsidR="006B39C5">
        <w:rPr>
          <w:b/>
          <w:bCs/>
        </w:rPr>
        <w:t xml:space="preserve">par l’ED et notification aux candidats. </w:t>
      </w:r>
    </w:p>
    <w:p w14:paraId="05433C9A" w14:textId="2B2619EB" w:rsidR="00C64831" w:rsidRDefault="006B39C5" w:rsidP="00857B95">
      <w:pPr>
        <w:numPr>
          <w:ilvl w:val="1"/>
          <w:numId w:val="1"/>
        </w:numPr>
        <w:jc w:val="both"/>
        <w:rPr>
          <w:bCs/>
        </w:rPr>
      </w:pPr>
      <w:r w:rsidRPr="006B39C5">
        <w:rPr>
          <w:bCs/>
        </w:rPr>
        <w:t>La gestionnaire de l’ED envoie les notifications aux candidat</w:t>
      </w:r>
      <w:r w:rsidR="000E0DE2">
        <w:rPr>
          <w:bCs/>
        </w:rPr>
        <w:t>.r</w:t>
      </w:r>
      <w:r w:rsidRPr="006B39C5">
        <w:rPr>
          <w:bCs/>
        </w:rPr>
        <w:t>s reçu</w:t>
      </w:r>
      <w:r w:rsidR="000E0DE2">
        <w:rPr>
          <w:bCs/>
        </w:rPr>
        <w:t>.e</w:t>
      </w:r>
      <w:r w:rsidRPr="006B39C5">
        <w:rPr>
          <w:bCs/>
        </w:rPr>
        <w:t>s</w:t>
      </w:r>
      <w:r w:rsidR="00C64831">
        <w:rPr>
          <w:bCs/>
        </w:rPr>
        <w:t xml:space="preserve"> (en copie les DU et les directions de thèse) en respectant l’ordre du classement principal</w:t>
      </w:r>
      <w:r w:rsidRPr="006B39C5">
        <w:rPr>
          <w:bCs/>
        </w:rPr>
        <w:t xml:space="preserve">. </w:t>
      </w:r>
      <w:r w:rsidR="000E0DE2">
        <w:rPr>
          <w:bCs/>
        </w:rPr>
        <w:t>En cas de</w:t>
      </w:r>
      <w:r w:rsidR="000E0DE2" w:rsidRPr="006B39C5">
        <w:rPr>
          <w:bCs/>
        </w:rPr>
        <w:t xml:space="preserve"> </w:t>
      </w:r>
      <w:r w:rsidRPr="006B39C5">
        <w:rPr>
          <w:bCs/>
        </w:rPr>
        <w:t>désistement</w:t>
      </w:r>
      <w:r w:rsidR="00C64831">
        <w:rPr>
          <w:bCs/>
        </w:rPr>
        <w:t xml:space="preserve"> </w:t>
      </w:r>
      <w:proofErr w:type="gramStart"/>
      <w:r w:rsidR="00C64831">
        <w:rPr>
          <w:bCs/>
        </w:rPr>
        <w:t>d’</w:t>
      </w:r>
      <w:proofErr w:type="spellStart"/>
      <w:r w:rsidR="00C64831">
        <w:rPr>
          <w:bCs/>
        </w:rPr>
        <w:t>un</w:t>
      </w:r>
      <w:r w:rsidR="000E0DE2">
        <w:rPr>
          <w:bCs/>
        </w:rPr>
        <w:t>.e</w:t>
      </w:r>
      <w:proofErr w:type="spellEnd"/>
      <w:proofErr w:type="gramEnd"/>
      <w:r w:rsidR="00C64831">
        <w:rPr>
          <w:bCs/>
        </w:rPr>
        <w:t xml:space="preserve"> </w:t>
      </w:r>
      <w:proofErr w:type="spellStart"/>
      <w:r w:rsidR="00C64831">
        <w:rPr>
          <w:bCs/>
        </w:rPr>
        <w:t>candidat</w:t>
      </w:r>
      <w:r w:rsidR="000E0DE2">
        <w:rPr>
          <w:bCs/>
        </w:rPr>
        <w:t>.e</w:t>
      </w:r>
      <w:proofErr w:type="spellEnd"/>
      <w:r w:rsidR="000E0DE2">
        <w:rPr>
          <w:bCs/>
        </w:rPr>
        <w:t>,</w:t>
      </w:r>
      <w:r w:rsidRPr="006B39C5">
        <w:rPr>
          <w:bCs/>
        </w:rPr>
        <w:t xml:space="preserve"> le classement complémentaire</w:t>
      </w:r>
      <w:r w:rsidR="000E0DE2">
        <w:rPr>
          <w:bCs/>
        </w:rPr>
        <w:t xml:space="preserve"> par unité</w:t>
      </w:r>
      <w:r w:rsidRPr="006B39C5">
        <w:rPr>
          <w:bCs/>
        </w:rPr>
        <w:t xml:space="preserve"> sera pris en compte. </w:t>
      </w:r>
    </w:p>
    <w:p w14:paraId="3BD395DA" w14:textId="5BA0C88C" w:rsidR="00857B95" w:rsidRDefault="00857B95" w:rsidP="00857B95">
      <w:pPr>
        <w:ind w:left="720"/>
        <w:jc w:val="both"/>
        <w:rPr>
          <w:bCs/>
        </w:rPr>
      </w:pPr>
    </w:p>
    <w:p w14:paraId="4B504CCA" w14:textId="11B023D1" w:rsidR="00857B95" w:rsidRPr="000E0DE2" w:rsidRDefault="00857B95" w:rsidP="00EF0410">
      <w:pPr>
        <w:numPr>
          <w:ilvl w:val="0"/>
          <w:numId w:val="1"/>
        </w:numPr>
        <w:ind w:left="360"/>
        <w:jc w:val="both"/>
      </w:pPr>
      <w:r w:rsidRPr="00857B95">
        <w:rPr>
          <w:bCs/>
        </w:rPr>
        <w:t>Les candidat</w:t>
      </w:r>
      <w:r w:rsidR="000E0DE2">
        <w:rPr>
          <w:bCs/>
        </w:rPr>
        <w:t>.e</w:t>
      </w:r>
      <w:r w:rsidRPr="00857B95">
        <w:rPr>
          <w:bCs/>
        </w:rPr>
        <w:t>s retenu</w:t>
      </w:r>
      <w:r w:rsidR="000E0DE2">
        <w:rPr>
          <w:bCs/>
        </w:rPr>
        <w:t>.e</w:t>
      </w:r>
      <w:r w:rsidRPr="00857B95">
        <w:rPr>
          <w:bCs/>
        </w:rPr>
        <w:t>s lancent la procédure d’inscription sur AMETHIS avec l’aide de la direction de thèse et du laboratoire.</w:t>
      </w:r>
    </w:p>
    <w:p w14:paraId="09A3570A" w14:textId="0E54EF6E" w:rsidR="00FD79DC" w:rsidRDefault="00FD79DC" w:rsidP="00FD79DC">
      <w:pPr>
        <w:ind w:left="360"/>
        <w:jc w:val="both"/>
      </w:pPr>
    </w:p>
    <w:p w14:paraId="19F5B47D" w14:textId="77777777" w:rsidR="00FD79DC" w:rsidRDefault="00FD79DC" w:rsidP="00FD79DC">
      <w:pPr>
        <w:ind w:left="360"/>
        <w:jc w:val="both"/>
      </w:pPr>
    </w:p>
    <w:p w14:paraId="34689861" w14:textId="7BB476A3" w:rsidR="00FD79DC" w:rsidRPr="00857B95" w:rsidRDefault="00FD79DC" w:rsidP="00FD79DC">
      <w:pPr>
        <w:ind w:left="360"/>
        <w:jc w:val="both"/>
      </w:pPr>
      <w:r>
        <w:t>Informations complémentaires : répartition des CDE par UR</w:t>
      </w:r>
    </w:p>
    <w:p w14:paraId="639BE030" w14:textId="77777777" w:rsidR="00FD79DC" w:rsidRDefault="00FD79DC" w:rsidP="00857B95">
      <w:pPr>
        <w:ind w:left="360"/>
        <w:jc w:val="both"/>
      </w:pPr>
    </w:p>
    <w:p w14:paraId="56F7BB1E" w14:textId="2C90957E" w:rsidR="00FD79DC" w:rsidRDefault="00FD79DC" w:rsidP="00857B95">
      <w:pPr>
        <w:ind w:left="360"/>
        <w:jc w:val="both"/>
      </w:pPr>
    </w:p>
    <w:tbl>
      <w:tblPr>
        <w:tblW w:w="11550" w:type="dxa"/>
        <w:tblCellSpacing w:w="0" w:type="dxa"/>
        <w:tblInd w:w="-12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2"/>
        <w:gridCol w:w="1441"/>
        <w:gridCol w:w="1241"/>
        <w:gridCol w:w="1241"/>
        <w:gridCol w:w="1241"/>
        <w:gridCol w:w="1241"/>
        <w:gridCol w:w="1241"/>
        <w:gridCol w:w="1882"/>
      </w:tblGrid>
      <w:tr w:rsidR="00FD79DC" w:rsidRPr="00FD79DC" w14:paraId="352E12BD" w14:textId="77777777" w:rsidTr="00FD79DC">
        <w:trPr>
          <w:trHeight w:val="312"/>
          <w:tblCellSpacing w:w="0" w:type="dxa"/>
        </w:trPr>
        <w:tc>
          <w:tcPr>
            <w:tcW w:w="2022" w:type="dxa"/>
            <w:tcBorders>
              <w:top w:val="single" w:sz="8" w:space="0" w:color="auto"/>
              <w:left w:val="single" w:sz="8" w:space="0" w:color="auto"/>
              <w:bottom w:val="single" w:sz="4" w:space="0" w:color="8EA9DB"/>
              <w:right w:val="single" w:sz="4" w:space="0" w:color="auto"/>
            </w:tcBorders>
            <w:shd w:val="clear" w:color="auto" w:fill="4472C4"/>
            <w:vAlign w:val="center"/>
            <w:hideMark/>
          </w:tcPr>
          <w:p w14:paraId="1DED2366" w14:textId="77777777" w:rsidR="00FD79DC" w:rsidRPr="00FD79DC" w:rsidRDefault="00FD79DC" w:rsidP="00FD79DC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val="fr-GB" w:eastAsia="fr-FR"/>
                <w14:ligatures w14:val="none"/>
              </w:rPr>
              <w:t>Laboratoires</w:t>
            </w:r>
          </w:p>
        </w:tc>
        <w:tc>
          <w:tcPr>
            <w:tcW w:w="144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4472C4"/>
            <w:vAlign w:val="center"/>
            <w:hideMark/>
          </w:tcPr>
          <w:p w14:paraId="2D73CA89" w14:textId="77777777" w:rsidR="00FD79DC" w:rsidRPr="00FD79DC" w:rsidRDefault="00FD79DC" w:rsidP="00FD79DC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val="fr-GB" w:eastAsia="fr-FR"/>
                <w14:ligatures w14:val="none"/>
              </w:rPr>
              <w:t>ED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8EA9DB"/>
              <w:right w:val="nil"/>
            </w:tcBorders>
            <w:shd w:val="clear" w:color="auto" w:fill="4472C4"/>
            <w:vAlign w:val="center"/>
            <w:hideMark/>
          </w:tcPr>
          <w:p w14:paraId="4E2DB260" w14:textId="77777777" w:rsidR="00FD79DC" w:rsidRPr="00FD79DC" w:rsidRDefault="00FD79DC" w:rsidP="00FD79DC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fr-GB" w:eastAsia="fr-FR"/>
                <w14:ligatures w14:val="none"/>
              </w:rPr>
              <w:t>2023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8EA9DB"/>
              <w:right w:val="nil"/>
            </w:tcBorders>
            <w:shd w:val="clear" w:color="auto" w:fill="4472C4"/>
            <w:vAlign w:val="center"/>
            <w:hideMark/>
          </w:tcPr>
          <w:p w14:paraId="4A20E717" w14:textId="77777777" w:rsidR="00FD79DC" w:rsidRPr="00FD79DC" w:rsidRDefault="00FD79DC" w:rsidP="00FD79DC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fr-GB" w:eastAsia="fr-FR"/>
                <w14:ligatures w14:val="none"/>
              </w:rPr>
              <w:t>2024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8EA9DB"/>
              <w:right w:val="nil"/>
            </w:tcBorders>
            <w:shd w:val="clear" w:color="auto" w:fill="4472C4"/>
            <w:vAlign w:val="center"/>
            <w:hideMark/>
          </w:tcPr>
          <w:p w14:paraId="6B4E2B81" w14:textId="209BFC81" w:rsidR="00FD79DC" w:rsidRPr="00FD79DC" w:rsidRDefault="00FD79DC" w:rsidP="00FD79DC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fr-GB" w:eastAsia="fr-FR"/>
                <w14:ligatures w14:val="none"/>
              </w:rPr>
              <w:t>2025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8EA9DB"/>
              <w:right w:val="nil"/>
            </w:tcBorders>
            <w:shd w:val="clear" w:color="auto" w:fill="4472C4"/>
            <w:vAlign w:val="center"/>
            <w:hideMark/>
          </w:tcPr>
          <w:p w14:paraId="30E7DF03" w14:textId="77777777" w:rsidR="00FD79DC" w:rsidRPr="00FD79DC" w:rsidRDefault="00FD79DC" w:rsidP="00FD79DC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fr-GB" w:eastAsia="fr-FR"/>
                <w14:ligatures w14:val="none"/>
              </w:rPr>
              <w:t>2026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8EA9DB"/>
              <w:right w:val="single" w:sz="8" w:space="0" w:color="auto"/>
            </w:tcBorders>
            <w:shd w:val="clear" w:color="auto" w:fill="4472C4"/>
            <w:vAlign w:val="center"/>
            <w:hideMark/>
          </w:tcPr>
          <w:p w14:paraId="4A634656" w14:textId="77777777" w:rsidR="00FD79DC" w:rsidRPr="00FD79DC" w:rsidRDefault="00FD79DC" w:rsidP="00FD79DC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fr-GB" w:eastAsia="fr-FR"/>
                <w14:ligatures w14:val="none"/>
              </w:rPr>
              <w:t>2027</w:t>
            </w:r>
          </w:p>
        </w:tc>
        <w:tc>
          <w:tcPr>
            <w:tcW w:w="1882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4472C4"/>
            <w:vAlign w:val="center"/>
            <w:hideMark/>
          </w:tcPr>
          <w:p w14:paraId="5D8E3FAF" w14:textId="77777777" w:rsidR="00FD79DC" w:rsidRPr="00FD79DC" w:rsidRDefault="00FD79DC" w:rsidP="00FD79DC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fr-GB" w:eastAsia="fr-FR"/>
                <w14:ligatures w14:val="none"/>
              </w:rPr>
              <w:t>CDE 2023-2027</w:t>
            </w:r>
          </w:p>
        </w:tc>
      </w:tr>
      <w:tr w:rsidR="00FD79DC" w:rsidRPr="00FD79DC" w14:paraId="627E41E1" w14:textId="77777777" w:rsidTr="00FD79DC">
        <w:trPr>
          <w:trHeight w:val="28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4391A14B" w14:textId="77777777" w:rsidR="00FD79DC" w:rsidRPr="00FD79DC" w:rsidRDefault="00FD79DC" w:rsidP="00FD79D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  <w:t>crci2na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vAlign w:val="center"/>
            <w:hideMark/>
          </w:tcPr>
          <w:p w14:paraId="44E5A2C5" w14:textId="77777777" w:rsidR="00FD79DC" w:rsidRPr="00FD79DC" w:rsidRDefault="00FD79DC" w:rsidP="00FD79D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  <w:t>BS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vAlign w:val="center"/>
            <w:hideMark/>
          </w:tcPr>
          <w:p w14:paraId="38A24851" w14:textId="77777777" w:rsidR="00FD79DC" w:rsidRPr="00FD79DC" w:rsidRDefault="00FD79DC" w:rsidP="00FD79D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  <w:t>3,0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vAlign w:val="center"/>
            <w:hideMark/>
          </w:tcPr>
          <w:p w14:paraId="44BD22B8" w14:textId="77777777" w:rsidR="00FD79DC" w:rsidRPr="00FD79DC" w:rsidRDefault="00FD79DC" w:rsidP="00FD79D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  <w:t>4,0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vAlign w:val="center"/>
            <w:hideMark/>
          </w:tcPr>
          <w:p w14:paraId="26E9B7C6" w14:textId="26D04B16" w:rsidR="00FD79DC" w:rsidRPr="00FD79DC" w:rsidRDefault="00FD79DC" w:rsidP="00FD79D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  <w:t>3,0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vAlign w:val="center"/>
            <w:hideMark/>
          </w:tcPr>
          <w:p w14:paraId="6F3BF2FB" w14:textId="77777777" w:rsidR="00FD79DC" w:rsidRPr="00FD79DC" w:rsidRDefault="00FD79DC" w:rsidP="00FD79D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  <w:t>3,0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8" w:space="0" w:color="auto"/>
            </w:tcBorders>
            <w:shd w:val="clear" w:color="auto" w:fill="D9E1F2"/>
            <w:vAlign w:val="center"/>
            <w:hideMark/>
          </w:tcPr>
          <w:p w14:paraId="69E56F08" w14:textId="77777777" w:rsidR="00FD79DC" w:rsidRPr="00FD79DC" w:rsidRDefault="00FD79DC" w:rsidP="00FD79D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  <w:t>3,0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  <w:vAlign w:val="center"/>
            <w:hideMark/>
          </w:tcPr>
          <w:p w14:paraId="21E17CD2" w14:textId="77777777" w:rsidR="00FD79DC" w:rsidRPr="00FD79DC" w:rsidRDefault="00FD79DC" w:rsidP="00FD79D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  <w:t>16,0</w:t>
            </w:r>
          </w:p>
        </w:tc>
      </w:tr>
      <w:tr w:rsidR="00FD79DC" w:rsidRPr="00FD79DC" w14:paraId="44970677" w14:textId="77777777" w:rsidTr="00FD79DC">
        <w:trPr>
          <w:trHeight w:val="28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23A6B" w14:textId="77777777" w:rsidR="00FD79DC" w:rsidRPr="00FD79DC" w:rsidRDefault="00FD79DC" w:rsidP="00FD79D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  <w:t>inst_thorax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14:paraId="7077E100" w14:textId="77777777" w:rsidR="00FD79DC" w:rsidRPr="00FD79DC" w:rsidRDefault="00FD79DC" w:rsidP="00FD79D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  <w:t>BS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14:paraId="41FFBDCD" w14:textId="77777777" w:rsidR="00FD79DC" w:rsidRPr="00FD79DC" w:rsidRDefault="00FD79DC" w:rsidP="00FD79D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  <w:t>2,0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14:paraId="0B21449B" w14:textId="77777777" w:rsidR="00FD79DC" w:rsidRPr="00FD79DC" w:rsidRDefault="00FD79DC" w:rsidP="00FD79D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  <w:t>2,0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14:paraId="1651ADB3" w14:textId="1B3611D4" w:rsidR="00FD79DC" w:rsidRPr="00FD79DC" w:rsidRDefault="00FD79DC" w:rsidP="00FD79D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  <w:t>3,0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FFC7CE"/>
            <w:vAlign w:val="center"/>
            <w:hideMark/>
          </w:tcPr>
          <w:p w14:paraId="56817921" w14:textId="77777777" w:rsidR="00FD79DC" w:rsidRPr="00FD79DC" w:rsidRDefault="00FD79DC" w:rsidP="00FD79DC">
            <w:pPr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val="fr-GB" w:eastAsia="fr-FR"/>
                <w14:ligatures w14:val="none"/>
              </w:rPr>
              <w:t>2,5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8" w:space="0" w:color="auto"/>
            </w:tcBorders>
            <w:vAlign w:val="center"/>
            <w:hideMark/>
          </w:tcPr>
          <w:p w14:paraId="4010BD4E" w14:textId="77777777" w:rsidR="00FD79DC" w:rsidRPr="00FD79DC" w:rsidRDefault="00FD79DC" w:rsidP="00FD79DC">
            <w:pPr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val="fr-GB" w:eastAsia="fr-FR"/>
                <w14:ligatures w14:val="none"/>
              </w:rPr>
              <w:t>2,0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vAlign w:val="center"/>
            <w:hideMark/>
          </w:tcPr>
          <w:p w14:paraId="5D3B3CC4" w14:textId="77777777" w:rsidR="00FD79DC" w:rsidRPr="00FD79DC" w:rsidRDefault="00FD79DC" w:rsidP="00FD79D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  <w:t>11,5</w:t>
            </w:r>
          </w:p>
        </w:tc>
      </w:tr>
      <w:tr w:rsidR="00FD79DC" w:rsidRPr="00FD79DC" w14:paraId="72E3803A" w14:textId="77777777" w:rsidTr="00FD79DC">
        <w:trPr>
          <w:trHeight w:val="288"/>
          <w:tblCellSpacing w:w="0" w:type="dxa"/>
        </w:trPr>
        <w:tc>
          <w:tcPr>
            <w:tcW w:w="0" w:type="auto"/>
            <w:tcBorders>
              <w:top w:val="single" w:sz="4" w:space="0" w:color="8EA9DB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70DFE635" w14:textId="77777777" w:rsidR="00FD79DC" w:rsidRPr="00FD79DC" w:rsidRDefault="00FD79DC" w:rsidP="00FD79D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  <w:t>cr2ti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vAlign w:val="center"/>
            <w:hideMark/>
          </w:tcPr>
          <w:p w14:paraId="588F7D6F" w14:textId="77777777" w:rsidR="00FD79DC" w:rsidRPr="00FD79DC" w:rsidRDefault="00FD79DC" w:rsidP="00FD79D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  <w:t>BS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auto" w:fill="D9E1F2"/>
            <w:vAlign w:val="center"/>
            <w:hideMark/>
          </w:tcPr>
          <w:p w14:paraId="13CBE0AC" w14:textId="77777777" w:rsidR="00FD79DC" w:rsidRPr="00FD79DC" w:rsidRDefault="00FD79DC" w:rsidP="00FD79DC">
            <w:pPr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val="fr-GB" w:eastAsia="fr-FR"/>
                <w14:ligatures w14:val="none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auto" w:fill="D9E1F2"/>
            <w:vAlign w:val="center"/>
            <w:hideMark/>
          </w:tcPr>
          <w:p w14:paraId="0F76D5B1" w14:textId="77777777" w:rsidR="00FD79DC" w:rsidRPr="00FD79DC" w:rsidRDefault="00FD79DC" w:rsidP="00FD79DC">
            <w:pPr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val="fr-GB" w:eastAsia="fr-FR"/>
                <w14:ligatures w14:val="none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auto" w:fill="D9E1F2"/>
            <w:vAlign w:val="center"/>
            <w:hideMark/>
          </w:tcPr>
          <w:p w14:paraId="5CF0AB69" w14:textId="77777777" w:rsidR="00FD79DC" w:rsidRPr="00FD79DC" w:rsidRDefault="00FD79DC" w:rsidP="00FD79DC">
            <w:pPr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val="fr-GB" w:eastAsia="fr-FR"/>
                <w14:ligatures w14:val="none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auto" w:fill="D9E1F2"/>
            <w:vAlign w:val="center"/>
            <w:hideMark/>
          </w:tcPr>
          <w:p w14:paraId="17ECB942" w14:textId="77777777" w:rsidR="00FD79DC" w:rsidRPr="00FD79DC" w:rsidRDefault="00FD79DC" w:rsidP="00FD79DC">
            <w:pPr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val="fr-GB" w:eastAsia="fr-FR"/>
                <w14:ligatures w14:val="none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8EA9DB"/>
              <w:right w:val="single" w:sz="8" w:space="0" w:color="auto"/>
            </w:tcBorders>
            <w:shd w:val="clear" w:color="auto" w:fill="D9E1F2"/>
            <w:vAlign w:val="center"/>
            <w:hideMark/>
          </w:tcPr>
          <w:p w14:paraId="6F8BD1D8" w14:textId="77777777" w:rsidR="00FD79DC" w:rsidRPr="00FD79DC" w:rsidRDefault="00FD79DC" w:rsidP="00FD79DC">
            <w:pPr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val="fr-GB" w:eastAsia="fr-FR"/>
                <w14:ligatures w14:val="none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  <w:vAlign w:val="center"/>
            <w:hideMark/>
          </w:tcPr>
          <w:p w14:paraId="61FE4680" w14:textId="77777777" w:rsidR="00FD79DC" w:rsidRPr="00FD79DC" w:rsidRDefault="00FD79DC" w:rsidP="00FD79D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  <w:t>10,0</w:t>
            </w:r>
          </w:p>
        </w:tc>
      </w:tr>
      <w:tr w:rsidR="00FD79DC" w:rsidRPr="00FD79DC" w14:paraId="1EE48DC2" w14:textId="77777777" w:rsidTr="00FD79DC">
        <w:trPr>
          <w:trHeight w:val="28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B2835" w14:textId="77777777" w:rsidR="00FD79DC" w:rsidRPr="00FD79DC" w:rsidRDefault="00FD79DC" w:rsidP="00FD79D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  <w:t>rmes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14:paraId="53024BE6" w14:textId="77777777" w:rsidR="00FD79DC" w:rsidRPr="00FD79DC" w:rsidRDefault="00FD79DC" w:rsidP="00FD79D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  <w:t>BS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14:paraId="1A269DCF" w14:textId="77777777" w:rsidR="00FD79DC" w:rsidRPr="00FD79DC" w:rsidRDefault="00FD79DC" w:rsidP="00FD79D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  <w:t>1,0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14:paraId="5680CD36" w14:textId="77777777" w:rsidR="00FD79DC" w:rsidRPr="00FD79DC" w:rsidRDefault="00FD79DC" w:rsidP="00FD79D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  <w:t>2,0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14:paraId="264D879B" w14:textId="77777777" w:rsidR="00FD79DC" w:rsidRPr="00FD79DC" w:rsidRDefault="00FD79DC" w:rsidP="00FD79D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  <w:t>2,0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FFC7CE"/>
            <w:vAlign w:val="center"/>
            <w:hideMark/>
          </w:tcPr>
          <w:p w14:paraId="075809DF" w14:textId="77777777" w:rsidR="00FD79DC" w:rsidRPr="00FD79DC" w:rsidRDefault="00FD79DC" w:rsidP="00FD79DC">
            <w:pPr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val="fr-GB" w:eastAsia="fr-FR"/>
                <w14:ligatures w14:val="none"/>
              </w:rPr>
              <w:t>1,5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8" w:space="0" w:color="auto"/>
            </w:tcBorders>
            <w:vAlign w:val="center"/>
            <w:hideMark/>
          </w:tcPr>
          <w:p w14:paraId="577F6B34" w14:textId="77777777" w:rsidR="00FD79DC" w:rsidRPr="00FD79DC" w:rsidRDefault="00FD79DC" w:rsidP="00FD79DC">
            <w:pPr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val="fr-GB" w:eastAsia="fr-FR"/>
                <w14:ligatures w14:val="none"/>
              </w:rPr>
              <w:t>2,0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vAlign w:val="center"/>
            <w:hideMark/>
          </w:tcPr>
          <w:p w14:paraId="4E4096C3" w14:textId="77777777" w:rsidR="00FD79DC" w:rsidRPr="00FD79DC" w:rsidRDefault="00FD79DC" w:rsidP="00FD79D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  <w:t>8,5</w:t>
            </w:r>
          </w:p>
        </w:tc>
      </w:tr>
      <w:tr w:rsidR="00FD79DC" w:rsidRPr="00FD79DC" w14:paraId="7B2102F7" w14:textId="77777777" w:rsidTr="00FD79DC">
        <w:trPr>
          <w:trHeight w:val="28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411F19ED" w14:textId="77777777" w:rsidR="00FD79DC" w:rsidRPr="00FD79DC" w:rsidRDefault="00FD79DC" w:rsidP="00FD79D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  <w:t>incit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vAlign w:val="center"/>
            <w:hideMark/>
          </w:tcPr>
          <w:p w14:paraId="613279C1" w14:textId="77777777" w:rsidR="00FD79DC" w:rsidRPr="00FD79DC" w:rsidRDefault="00FD79DC" w:rsidP="00FD79D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  <w:t>BS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vAlign w:val="center"/>
            <w:hideMark/>
          </w:tcPr>
          <w:p w14:paraId="6875C717" w14:textId="77777777" w:rsidR="00FD79DC" w:rsidRPr="00FD79DC" w:rsidRDefault="00FD79DC" w:rsidP="00FD79D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  <w:t>2,0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vAlign w:val="center"/>
            <w:hideMark/>
          </w:tcPr>
          <w:p w14:paraId="09639F5E" w14:textId="77777777" w:rsidR="00FD79DC" w:rsidRPr="00FD79DC" w:rsidRDefault="00FD79DC" w:rsidP="00FD79D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  <w:t>1,0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vAlign w:val="center"/>
            <w:hideMark/>
          </w:tcPr>
          <w:p w14:paraId="4DE57CBD" w14:textId="77777777" w:rsidR="00FD79DC" w:rsidRPr="00FD79DC" w:rsidRDefault="00FD79DC" w:rsidP="00FD79D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  <w:t>1,0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vAlign w:val="center"/>
            <w:hideMark/>
          </w:tcPr>
          <w:p w14:paraId="77EF4336" w14:textId="77777777" w:rsidR="00FD79DC" w:rsidRPr="00FD79DC" w:rsidRDefault="00FD79DC" w:rsidP="00FD79DC">
            <w:pPr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val="fr-GB" w:eastAsia="fr-FR"/>
                <w14:ligatures w14:val="none"/>
              </w:rPr>
              <w:t>1,0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8" w:space="0" w:color="auto"/>
            </w:tcBorders>
            <w:shd w:val="clear" w:color="auto" w:fill="D9E1F2"/>
            <w:vAlign w:val="center"/>
            <w:hideMark/>
          </w:tcPr>
          <w:p w14:paraId="30F265AE" w14:textId="77777777" w:rsidR="00FD79DC" w:rsidRPr="00FD79DC" w:rsidRDefault="00FD79DC" w:rsidP="00FD79DC">
            <w:pPr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val="fr-GB" w:eastAsia="fr-FR"/>
                <w14:ligatures w14:val="none"/>
              </w:rPr>
              <w:t>1,0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  <w:vAlign w:val="center"/>
            <w:hideMark/>
          </w:tcPr>
          <w:p w14:paraId="5E338FD0" w14:textId="77777777" w:rsidR="00FD79DC" w:rsidRPr="00FD79DC" w:rsidRDefault="00FD79DC" w:rsidP="00FD79D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  <w:t>6,0</w:t>
            </w:r>
          </w:p>
        </w:tc>
      </w:tr>
      <w:tr w:rsidR="00FD79DC" w:rsidRPr="00FD79DC" w14:paraId="02E89B0D" w14:textId="77777777" w:rsidTr="00FD79DC">
        <w:trPr>
          <w:trHeight w:val="28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DFF44" w14:textId="77777777" w:rsidR="00FD79DC" w:rsidRPr="00FD79DC" w:rsidRDefault="00FD79DC" w:rsidP="00FD79D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  <w:t>iicimed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14:paraId="5CF6B27C" w14:textId="77777777" w:rsidR="00FD79DC" w:rsidRPr="00FD79DC" w:rsidRDefault="00FD79DC" w:rsidP="00FD79D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  <w:t>BS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ED7D31"/>
            <w:vAlign w:val="center"/>
            <w:hideMark/>
          </w:tcPr>
          <w:p w14:paraId="7F2A36A1" w14:textId="77777777" w:rsidR="00FD79DC" w:rsidRPr="00FD79DC" w:rsidRDefault="00FD79DC" w:rsidP="00FD79DC">
            <w:pPr>
              <w:jc w:val="right"/>
              <w:rPr>
                <w:rFonts w:ascii="Calibri" w:eastAsia="Times New Roman" w:hAnsi="Calibri" w:cs="Calibri"/>
                <w:color w:val="FFFFFF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FFFFFF"/>
                <w:kern w:val="0"/>
                <w:sz w:val="22"/>
                <w:szCs w:val="22"/>
                <w:lang w:val="fr-GB" w:eastAsia="fr-FR"/>
                <w14:ligatures w14:val="none"/>
              </w:rPr>
              <w:t>0,0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14:paraId="117EBACC" w14:textId="77777777" w:rsidR="00FD79DC" w:rsidRPr="00FD79DC" w:rsidRDefault="00FD79DC" w:rsidP="00FD79D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  <w:t>1,0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14:paraId="45D0E4C6" w14:textId="30C5AF35" w:rsidR="00FD79DC" w:rsidRPr="00FD79DC" w:rsidRDefault="00FD79DC" w:rsidP="00FD79D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  <w:t>1,0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14:paraId="79E55066" w14:textId="77777777" w:rsidR="00FD79DC" w:rsidRPr="00FD79DC" w:rsidRDefault="00FD79DC" w:rsidP="00FD79DC">
            <w:pPr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val="fr-GB" w:eastAsia="fr-FR"/>
                <w14:ligatures w14:val="none"/>
              </w:rPr>
              <w:t>1,0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8" w:space="0" w:color="auto"/>
            </w:tcBorders>
            <w:vAlign w:val="center"/>
            <w:hideMark/>
          </w:tcPr>
          <w:p w14:paraId="6D4A5C67" w14:textId="77777777" w:rsidR="00FD79DC" w:rsidRPr="00FD79DC" w:rsidRDefault="00FD79DC" w:rsidP="00FD79DC">
            <w:pPr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val="fr-GB" w:eastAsia="fr-FR"/>
                <w14:ligatures w14:val="none"/>
              </w:rPr>
              <w:t>1,0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vAlign w:val="center"/>
            <w:hideMark/>
          </w:tcPr>
          <w:p w14:paraId="58C7C54A" w14:textId="77777777" w:rsidR="00FD79DC" w:rsidRPr="00FD79DC" w:rsidRDefault="00FD79DC" w:rsidP="00FD79D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  <w:t>4,0</w:t>
            </w:r>
          </w:p>
        </w:tc>
      </w:tr>
      <w:tr w:rsidR="00FD79DC" w:rsidRPr="00FD79DC" w14:paraId="2774EC1E" w14:textId="77777777" w:rsidTr="00FD79DC">
        <w:trPr>
          <w:trHeight w:val="28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3090FC2B" w14:textId="77777777" w:rsidR="00FD79DC" w:rsidRPr="00FD79DC" w:rsidRDefault="00FD79DC" w:rsidP="00FD79D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  <w:t>phan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vAlign w:val="center"/>
            <w:hideMark/>
          </w:tcPr>
          <w:p w14:paraId="4526CB2D" w14:textId="77777777" w:rsidR="00FD79DC" w:rsidRPr="00FD79DC" w:rsidRDefault="00FD79DC" w:rsidP="00FD79D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  <w:t>BS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vAlign w:val="center"/>
            <w:hideMark/>
          </w:tcPr>
          <w:p w14:paraId="7C4D47C0" w14:textId="77777777" w:rsidR="00FD79DC" w:rsidRPr="00FD79DC" w:rsidRDefault="00FD79DC" w:rsidP="00FD79D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  <w:t>1,0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ED7D31"/>
            <w:vAlign w:val="center"/>
            <w:hideMark/>
          </w:tcPr>
          <w:p w14:paraId="3BC678C0" w14:textId="77777777" w:rsidR="00FD79DC" w:rsidRPr="00FD79DC" w:rsidRDefault="00FD79DC" w:rsidP="00FD79DC">
            <w:pPr>
              <w:jc w:val="right"/>
              <w:rPr>
                <w:rFonts w:ascii="Calibri" w:eastAsia="Times New Roman" w:hAnsi="Calibri" w:cs="Calibri"/>
                <w:color w:val="FFFFFF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FFFFFF"/>
                <w:kern w:val="0"/>
                <w:sz w:val="22"/>
                <w:szCs w:val="22"/>
                <w:lang w:val="fr-GB" w:eastAsia="fr-FR"/>
                <w14:ligatures w14:val="none"/>
              </w:rPr>
              <w:t>0,0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vAlign w:val="center"/>
            <w:hideMark/>
          </w:tcPr>
          <w:p w14:paraId="48133C16" w14:textId="60E3CDA0" w:rsidR="00FD79DC" w:rsidRPr="00FD79DC" w:rsidRDefault="00FD79DC" w:rsidP="00FD79D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  <w:t>1,0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FFC7CE"/>
            <w:vAlign w:val="center"/>
            <w:hideMark/>
          </w:tcPr>
          <w:p w14:paraId="24F4E5C5" w14:textId="77777777" w:rsidR="00FD79DC" w:rsidRPr="00FD79DC" w:rsidRDefault="00FD79DC" w:rsidP="00FD79DC">
            <w:pPr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val="fr-GB" w:eastAsia="fr-F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8" w:space="0" w:color="auto"/>
            </w:tcBorders>
            <w:shd w:val="clear" w:color="auto" w:fill="D9E1F2"/>
            <w:vAlign w:val="center"/>
            <w:hideMark/>
          </w:tcPr>
          <w:p w14:paraId="621F7EDF" w14:textId="77777777" w:rsidR="00FD79DC" w:rsidRPr="00FD79DC" w:rsidRDefault="00FD79DC" w:rsidP="00FD79DC">
            <w:pPr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val="fr-GB" w:eastAsia="fr-FR"/>
                <w14:ligatures w14:val="none"/>
              </w:rPr>
              <w:t>1,0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  <w:vAlign w:val="center"/>
            <w:hideMark/>
          </w:tcPr>
          <w:p w14:paraId="6D5315B7" w14:textId="77777777" w:rsidR="00FD79DC" w:rsidRPr="00FD79DC" w:rsidRDefault="00FD79DC" w:rsidP="00FD79D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  <w:t>3,5</w:t>
            </w:r>
          </w:p>
        </w:tc>
      </w:tr>
      <w:tr w:rsidR="00FD79DC" w:rsidRPr="00FD79DC" w14:paraId="1AE1FBF1" w14:textId="77777777" w:rsidTr="00FD79DC">
        <w:trPr>
          <w:trHeight w:val="28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2FE42" w14:textId="77777777" w:rsidR="00FD79DC" w:rsidRPr="00FD79DC" w:rsidRDefault="00FD79DC" w:rsidP="00FD79D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  <w:t>us2b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14:paraId="61310F21" w14:textId="77777777" w:rsidR="00FD79DC" w:rsidRPr="00FD79DC" w:rsidRDefault="00FD79DC" w:rsidP="00FD79D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  <w:t>BS/VAAME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ED7D31"/>
            <w:vAlign w:val="center"/>
            <w:hideMark/>
          </w:tcPr>
          <w:p w14:paraId="321E4712" w14:textId="77777777" w:rsidR="00FD79DC" w:rsidRPr="00FD79DC" w:rsidRDefault="00FD79DC" w:rsidP="00FD79DC">
            <w:pPr>
              <w:jc w:val="right"/>
              <w:rPr>
                <w:rFonts w:ascii="Calibri" w:eastAsia="Times New Roman" w:hAnsi="Calibri" w:cs="Calibri"/>
                <w:color w:val="FFFFFF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FFFFFF"/>
                <w:kern w:val="0"/>
                <w:sz w:val="22"/>
                <w:szCs w:val="22"/>
                <w:lang w:val="fr-GB" w:eastAsia="fr-FR"/>
                <w14:ligatures w14:val="none"/>
              </w:rPr>
              <w:t>0,0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14:paraId="4E994E76" w14:textId="77777777" w:rsidR="00FD79DC" w:rsidRPr="00FD79DC" w:rsidRDefault="00FD79DC" w:rsidP="00FD79D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  <w:t>2,0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ED7D31"/>
            <w:vAlign w:val="center"/>
            <w:hideMark/>
          </w:tcPr>
          <w:p w14:paraId="6A63E54C" w14:textId="23126FFB" w:rsidR="00FD79DC" w:rsidRPr="00FD79DC" w:rsidRDefault="00FD79DC" w:rsidP="00FD79DC">
            <w:pPr>
              <w:jc w:val="right"/>
              <w:rPr>
                <w:rFonts w:ascii="Calibri" w:eastAsia="Times New Roman" w:hAnsi="Calibri" w:cs="Calibri"/>
                <w:color w:val="FFFFFF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FFFFFF"/>
                <w:kern w:val="0"/>
                <w:sz w:val="22"/>
                <w:szCs w:val="22"/>
                <w:lang w:val="fr-GB" w:eastAsia="fr-FR"/>
                <w14:ligatures w14:val="none"/>
              </w:rPr>
              <w:t>0,0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14:paraId="15608C0C" w14:textId="77777777" w:rsidR="00FD79DC" w:rsidRPr="00FD79DC" w:rsidRDefault="00FD79DC" w:rsidP="00FD79DC">
            <w:pPr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val="fr-GB" w:eastAsia="fr-FR"/>
                <w14:ligatures w14:val="none"/>
              </w:rPr>
              <w:t>1,0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8" w:space="0" w:color="auto"/>
            </w:tcBorders>
            <w:vAlign w:val="center"/>
            <w:hideMark/>
          </w:tcPr>
          <w:p w14:paraId="33E9705E" w14:textId="77777777" w:rsidR="00FD79DC" w:rsidRPr="00FD79DC" w:rsidRDefault="00FD79DC" w:rsidP="00FD79DC">
            <w:pPr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val="fr-GB" w:eastAsia="fr-FR"/>
                <w14:ligatures w14:val="none"/>
              </w:rPr>
              <w:t>1,0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vAlign w:val="center"/>
            <w:hideMark/>
          </w:tcPr>
          <w:p w14:paraId="1D888EFB" w14:textId="77777777" w:rsidR="00FD79DC" w:rsidRPr="00FD79DC" w:rsidRDefault="00FD79DC" w:rsidP="00FD79D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  <w:t>4,0</w:t>
            </w:r>
          </w:p>
        </w:tc>
      </w:tr>
      <w:tr w:rsidR="00FD79DC" w:rsidRPr="00FD79DC" w14:paraId="403A244A" w14:textId="77777777" w:rsidTr="00FD79DC">
        <w:trPr>
          <w:trHeight w:val="28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6A8B0E56" w14:textId="77777777" w:rsidR="00FD79DC" w:rsidRPr="00FD79DC" w:rsidRDefault="00FD79DC" w:rsidP="00FD79D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  <w:t>tens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vAlign w:val="center"/>
            <w:hideMark/>
          </w:tcPr>
          <w:p w14:paraId="73B1E583" w14:textId="77777777" w:rsidR="00FD79DC" w:rsidRPr="00FD79DC" w:rsidRDefault="00FD79DC" w:rsidP="00FD79D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  <w:t>BS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vAlign w:val="center"/>
            <w:hideMark/>
          </w:tcPr>
          <w:p w14:paraId="0ABEBE7D" w14:textId="77777777" w:rsidR="00FD79DC" w:rsidRPr="00FD79DC" w:rsidRDefault="00FD79DC" w:rsidP="00FD79D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  <w:t>1,0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ED7D31"/>
            <w:vAlign w:val="center"/>
            <w:hideMark/>
          </w:tcPr>
          <w:p w14:paraId="529E8A77" w14:textId="77777777" w:rsidR="00FD79DC" w:rsidRPr="00FD79DC" w:rsidRDefault="00FD79DC" w:rsidP="00FD79DC">
            <w:pPr>
              <w:jc w:val="right"/>
              <w:rPr>
                <w:rFonts w:ascii="Calibri" w:eastAsia="Times New Roman" w:hAnsi="Calibri" w:cs="Calibri"/>
                <w:color w:val="FFFFFF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FFFFFF"/>
                <w:kern w:val="0"/>
                <w:sz w:val="22"/>
                <w:szCs w:val="22"/>
                <w:lang w:val="fr-GB" w:eastAsia="fr-FR"/>
                <w14:ligatures w14:val="none"/>
              </w:rPr>
              <w:t>0,0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vAlign w:val="center"/>
            <w:hideMark/>
          </w:tcPr>
          <w:p w14:paraId="2732D4E5" w14:textId="63BF79F4" w:rsidR="00FD79DC" w:rsidRPr="00FD79DC" w:rsidRDefault="00FD79DC" w:rsidP="00FD79D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  <w:t>1,0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vAlign w:val="center"/>
            <w:hideMark/>
          </w:tcPr>
          <w:p w14:paraId="641E0A9D" w14:textId="77777777" w:rsidR="00FD79DC" w:rsidRPr="00FD79DC" w:rsidRDefault="00FD79DC" w:rsidP="00FD79DC">
            <w:pPr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val="fr-GB" w:eastAsia="fr-FR"/>
                <w14:ligatures w14:val="none"/>
              </w:rPr>
              <w:t>1,0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8" w:space="0" w:color="auto"/>
            </w:tcBorders>
            <w:shd w:val="clear" w:color="auto" w:fill="FFC7CE"/>
            <w:vAlign w:val="center"/>
            <w:hideMark/>
          </w:tcPr>
          <w:p w14:paraId="6F8A166E" w14:textId="77777777" w:rsidR="00FD79DC" w:rsidRPr="00FD79DC" w:rsidRDefault="00FD79DC" w:rsidP="00FD79DC">
            <w:pPr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val="fr-GB" w:eastAsia="fr-F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  <w:vAlign w:val="center"/>
            <w:hideMark/>
          </w:tcPr>
          <w:p w14:paraId="1F8B5B4C" w14:textId="77777777" w:rsidR="00FD79DC" w:rsidRPr="00FD79DC" w:rsidRDefault="00FD79DC" w:rsidP="00FD79D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  <w:t>3,5</w:t>
            </w:r>
          </w:p>
        </w:tc>
      </w:tr>
      <w:tr w:rsidR="00FD79DC" w:rsidRPr="00FD79DC" w14:paraId="4DF6D202" w14:textId="77777777" w:rsidTr="00FD79DC">
        <w:trPr>
          <w:trHeight w:val="28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EEEC5" w14:textId="77777777" w:rsidR="00FD79DC" w:rsidRPr="00FD79DC" w:rsidRDefault="00FD79DC" w:rsidP="00FD79D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  <w:t>sphere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14:paraId="336AC4C6" w14:textId="77777777" w:rsidR="00FD79DC" w:rsidRPr="00FD79DC" w:rsidRDefault="00FD79DC" w:rsidP="00FD79D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  <w:t>BS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ED7D31"/>
            <w:vAlign w:val="center"/>
            <w:hideMark/>
          </w:tcPr>
          <w:p w14:paraId="220BA52A" w14:textId="77777777" w:rsidR="00FD79DC" w:rsidRPr="00FD79DC" w:rsidRDefault="00FD79DC" w:rsidP="00FD79DC">
            <w:pPr>
              <w:jc w:val="right"/>
              <w:rPr>
                <w:rFonts w:ascii="Calibri" w:eastAsia="Times New Roman" w:hAnsi="Calibri" w:cs="Calibri"/>
                <w:color w:val="FFFFFF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FFFFFF"/>
                <w:kern w:val="0"/>
                <w:sz w:val="22"/>
                <w:szCs w:val="22"/>
                <w:lang w:val="fr-GB" w:eastAsia="fr-FR"/>
                <w14:ligatures w14:val="none"/>
              </w:rPr>
              <w:t>0,0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14:paraId="33CC0FCE" w14:textId="77777777" w:rsidR="00FD79DC" w:rsidRPr="00FD79DC" w:rsidRDefault="00FD79DC" w:rsidP="00FD79D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  <w:t>1,0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ED7D31"/>
            <w:vAlign w:val="center"/>
            <w:hideMark/>
          </w:tcPr>
          <w:p w14:paraId="3687199E" w14:textId="77777777" w:rsidR="00FD79DC" w:rsidRPr="00FD79DC" w:rsidRDefault="00FD79DC" w:rsidP="00FD79DC">
            <w:pPr>
              <w:jc w:val="right"/>
              <w:rPr>
                <w:rFonts w:ascii="Calibri" w:eastAsia="Times New Roman" w:hAnsi="Calibri" w:cs="Calibri"/>
                <w:color w:val="FFFFFF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FFFFFF"/>
                <w:kern w:val="0"/>
                <w:sz w:val="22"/>
                <w:szCs w:val="22"/>
                <w:lang w:val="fr-GB" w:eastAsia="fr-FR"/>
                <w14:ligatures w14:val="none"/>
              </w:rPr>
              <w:t>0,0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14:paraId="77EE9CAF" w14:textId="77777777" w:rsidR="00FD79DC" w:rsidRPr="00FD79DC" w:rsidRDefault="00FD79DC" w:rsidP="00FD79DC">
            <w:pPr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val="fr-GB" w:eastAsia="fr-FR"/>
                <w14:ligatures w14:val="none"/>
              </w:rPr>
              <w:t>1,0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8" w:space="0" w:color="auto"/>
            </w:tcBorders>
            <w:shd w:val="clear" w:color="auto" w:fill="FFC7CE"/>
            <w:vAlign w:val="center"/>
            <w:hideMark/>
          </w:tcPr>
          <w:p w14:paraId="17FDE10F" w14:textId="77777777" w:rsidR="00FD79DC" w:rsidRPr="00FD79DC" w:rsidRDefault="00FD79DC" w:rsidP="00FD79DC">
            <w:pPr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val="fr-GB" w:eastAsia="fr-F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vAlign w:val="center"/>
            <w:hideMark/>
          </w:tcPr>
          <w:p w14:paraId="01AFBD1E" w14:textId="77777777" w:rsidR="00FD79DC" w:rsidRPr="00FD79DC" w:rsidRDefault="00FD79DC" w:rsidP="00FD79D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  <w:t>2,5</w:t>
            </w:r>
          </w:p>
        </w:tc>
      </w:tr>
      <w:tr w:rsidR="00FD79DC" w:rsidRPr="00FD79DC" w14:paraId="2BE460B7" w14:textId="77777777" w:rsidTr="00FD79DC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10E373B8" w14:textId="77777777" w:rsidR="00FD79DC" w:rsidRPr="00FD79DC" w:rsidRDefault="00FD79DC" w:rsidP="00FD79D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  <w:t>target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vAlign w:val="center"/>
            <w:hideMark/>
          </w:tcPr>
          <w:p w14:paraId="00DB0DEC" w14:textId="77777777" w:rsidR="00FD79DC" w:rsidRPr="00FD79DC" w:rsidRDefault="00FD79DC" w:rsidP="00FD79D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  <w:t>BS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8" w:space="0" w:color="auto"/>
              <w:right w:val="nil"/>
            </w:tcBorders>
            <w:shd w:val="clear" w:color="auto" w:fill="D9E1F2"/>
            <w:vAlign w:val="center"/>
            <w:hideMark/>
          </w:tcPr>
          <w:p w14:paraId="6EB1D36C" w14:textId="77777777" w:rsidR="00FD79DC" w:rsidRPr="00FD79DC" w:rsidRDefault="00FD79DC" w:rsidP="00FD79D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  <w:t>1,0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8" w:space="0" w:color="auto"/>
              <w:right w:val="nil"/>
            </w:tcBorders>
            <w:shd w:val="clear" w:color="auto" w:fill="ED7D31"/>
            <w:vAlign w:val="center"/>
            <w:hideMark/>
          </w:tcPr>
          <w:p w14:paraId="3708DB62" w14:textId="77777777" w:rsidR="00FD79DC" w:rsidRPr="00FD79DC" w:rsidRDefault="00FD79DC" w:rsidP="00FD79DC">
            <w:pPr>
              <w:jc w:val="right"/>
              <w:rPr>
                <w:rFonts w:ascii="Calibri" w:eastAsia="Times New Roman" w:hAnsi="Calibri" w:cs="Calibri"/>
                <w:color w:val="FFFFFF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FFFFFF"/>
                <w:kern w:val="0"/>
                <w:sz w:val="22"/>
                <w:szCs w:val="22"/>
                <w:lang w:val="fr-GB" w:eastAsia="fr-FR"/>
                <w14:ligatures w14:val="none"/>
              </w:rPr>
              <w:t>0,0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8" w:space="0" w:color="auto"/>
              <w:right w:val="nil"/>
            </w:tcBorders>
            <w:shd w:val="clear" w:color="auto" w:fill="D9E1F2"/>
            <w:vAlign w:val="center"/>
            <w:hideMark/>
          </w:tcPr>
          <w:p w14:paraId="69D51B6F" w14:textId="77777777" w:rsidR="00FD79DC" w:rsidRPr="00FD79DC" w:rsidRDefault="00FD79DC" w:rsidP="00FD79D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  <w:t>1,0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8" w:space="0" w:color="auto"/>
              <w:right w:val="nil"/>
            </w:tcBorders>
            <w:shd w:val="clear" w:color="auto" w:fill="ED7D31"/>
            <w:vAlign w:val="center"/>
            <w:hideMark/>
          </w:tcPr>
          <w:p w14:paraId="2F8A738D" w14:textId="77777777" w:rsidR="00FD79DC" w:rsidRPr="00FD79DC" w:rsidRDefault="00FD79DC" w:rsidP="00FD79DC">
            <w:pPr>
              <w:jc w:val="right"/>
              <w:rPr>
                <w:rFonts w:ascii="Calibri" w:eastAsia="Times New Roman" w:hAnsi="Calibri" w:cs="Calibri"/>
                <w:color w:val="FFFFFF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FFFFFF"/>
                <w:kern w:val="0"/>
                <w:sz w:val="22"/>
                <w:szCs w:val="22"/>
                <w:lang w:val="fr-GB" w:eastAsia="fr-FR"/>
                <w14:ligatures w14:val="none"/>
              </w:rPr>
              <w:t>0,0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/>
            <w:vAlign w:val="center"/>
            <w:hideMark/>
          </w:tcPr>
          <w:p w14:paraId="6D7FB638" w14:textId="77777777" w:rsidR="00FD79DC" w:rsidRPr="00FD79DC" w:rsidRDefault="00FD79DC" w:rsidP="00FD79DC">
            <w:pPr>
              <w:jc w:val="right"/>
              <w:rPr>
                <w:rFonts w:ascii="Calibri" w:eastAsia="Times New Roman" w:hAnsi="Calibri" w:cs="Calibri"/>
                <w:color w:val="FFFFFF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FFFFFF"/>
                <w:kern w:val="0"/>
                <w:sz w:val="22"/>
                <w:szCs w:val="22"/>
                <w:lang w:val="fr-GB" w:eastAsia="fr-FR"/>
                <w14:ligatures w14:val="none"/>
              </w:rPr>
              <w:t>0,0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  <w:vAlign w:val="center"/>
            <w:hideMark/>
          </w:tcPr>
          <w:p w14:paraId="577E85EB" w14:textId="77777777" w:rsidR="00FD79DC" w:rsidRPr="00FD79DC" w:rsidRDefault="00FD79DC" w:rsidP="00FD79D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</w:pPr>
            <w:r w:rsidRPr="00FD79D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GB" w:eastAsia="fr-FR"/>
                <w14:ligatures w14:val="none"/>
              </w:rPr>
              <w:t>2,0</w:t>
            </w:r>
          </w:p>
        </w:tc>
      </w:tr>
    </w:tbl>
    <w:p w14:paraId="4D90D49C" w14:textId="77777777" w:rsidR="00FD79DC" w:rsidRDefault="00FD79DC" w:rsidP="00FD79DC">
      <w:pPr>
        <w:jc w:val="both"/>
      </w:pPr>
    </w:p>
    <w:p w14:paraId="5947E06E" w14:textId="77777777" w:rsidR="00FD79DC" w:rsidRDefault="00FD79DC" w:rsidP="00FD79DC">
      <w:pPr>
        <w:jc w:val="both"/>
      </w:pPr>
    </w:p>
    <w:p w14:paraId="1B56F318" w14:textId="2FC1C4B0" w:rsidR="00FD79DC" w:rsidRPr="009F6986" w:rsidRDefault="00FD79DC" w:rsidP="00FD79DC">
      <w:pPr>
        <w:jc w:val="both"/>
        <w:rPr>
          <w:b/>
          <w:bCs/>
        </w:rPr>
      </w:pPr>
      <w:r w:rsidRPr="00FD79DC">
        <w:rPr>
          <w:b/>
          <w:bCs/>
        </w:rPr>
        <w:lastRenderedPageBreak/>
        <w:t>Résumé de la procédure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734EA97" wp14:editId="2B5A86D6">
            <wp:simplePos x="0" y="0"/>
            <wp:positionH relativeFrom="margin">
              <wp:posOffset>131445</wp:posOffset>
            </wp:positionH>
            <wp:positionV relativeFrom="margin">
              <wp:posOffset>6275070</wp:posOffset>
            </wp:positionV>
            <wp:extent cx="5727700" cy="2288540"/>
            <wp:effectExtent l="0" t="0" r="0" b="0"/>
            <wp:wrapSquare wrapText="bothSides"/>
            <wp:docPr id="61597668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976685" name="Image 61597668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28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D79DC" w:rsidRPr="009F6986" w:rsidSect="0001333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4264"/>
    <w:multiLevelType w:val="hybridMultilevel"/>
    <w:tmpl w:val="8E4A58E4"/>
    <w:lvl w:ilvl="0" w:tplc="7E342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4AE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F4D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66E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0A1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80A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980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E6A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FE9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9078B7"/>
    <w:multiLevelType w:val="hybridMultilevel"/>
    <w:tmpl w:val="BB0C410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E870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00" w:themeColor="text1"/>
      </w:rPr>
    </w:lvl>
    <w:lvl w:ilvl="2" w:tplc="2ED89A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CC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FCC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E3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522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F69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985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94071B"/>
    <w:multiLevelType w:val="hybridMultilevel"/>
    <w:tmpl w:val="7D941386"/>
    <w:lvl w:ilvl="0" w:tplc="601C6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F67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4C4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F60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EB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47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500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841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2ED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6542552"/>
    <w:multiLevelType w:val="hybridMultilevel"/>
    <w:tmpl w:val="C83E86A4"/>
    <w:lvl w:ilvl="0" w:tplc="BB7E6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522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1CF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B09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9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E6C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C8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84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4C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7373A1C"/>
    <w:multiLevelType w:val="hybridMultilevel"/>
    <w:tmpl w:val="085623C2"/>
    <w:lvl w:ilvl="0" w:tplc="1C58B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5CE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3A0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48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807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B47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D63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A80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A68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5568730">
    <w:abstractNumId w:val="1"/>
  </w:num>
  <w:num w:numId="2" w16cid:durableId="1587500057">
    <w:abstractNumId w:val="2"/>
  </w:num>
  <w:num w:numId="3" w16cid:durableId="1678069386">
    <w:abstractNumId w:val="0"/>
  </w:num>
  <w:num w:numId="4" w16cid:durableId="911236073">
    <w:abstractNumId w:val="4"/>
  </w:num>
  <w:num w:numId="5" w16cid:durableId="5215552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193"/>
    <w:rsid w:val="00000735"/>
    <w:rsid w:val="0001333C"/>
    <w:rsid w:val="00015825"/>
    <w:rsid w:val="00022754"/>
    <w:rsid w:val="00022FAE"/>
    <w:rsid w:val="00031318"/>
    <w:rsid w:val="00050F8C"/>
    <w:rsid w:val="00054266"/>
    <w:rsid w:val="00056395"/>
    <w:rsid w:val="00072F56"/>
    <w:rsid w:val="00083AA3"/>
    <w:rsid w:val="000A4869"/>
    <w:rsid w:val="000A77A2"/>
    <w:rsid w:val="000B6A09"/>
    <w:rsid w:val="000E0DE2"/>
    <w:rsid w:val="000F35A2"/>
    <w:rsid w:val="00113C9F"/>
    <w:rsid w:val="00115342"/>
    <w:rsid w:val="0011538B"/>
    <w:rsid w:val="001248BF"/>
    <w:rsid w:val="00167A44"/>
    <w:rsid w:val="001B0775"/>
    <w:rsid w:val="001C079D"/>
    <w:rsid w:val="001D1AF1"/>
    <w:rsid w:val="001D28D9"/>
    <w:rsid w:val="001E5E76"/>
    <w:rsid w:val="0021003A"/>
    <w:rsid w:val="0021269B"/>
    <w:rsid w:val="00216D98"/>
    <w:rsid w:val="00230622"/>
    <w:rsid w:val="00237B88"/>
    <w:rsid w:val="00241077"/>
    <w:rsid w:val="00277913"/>
    <w:rsid w:val="00286250"/>
    <w:rsid w:val="00294419"/>
    <w:rsid w:val="002A3168"/>
    <w:rsid w:val="002B60EA"/>
    <w:rsid w:val="002C092D"/>
    <w:rsid w:val="002C33B3"/>
    <w:rsid w:val="002D185A"/>
    <w:rsid w:val="002E3B98"/>
    <w:rsid w:val="002F4F7C"/>
    <w:rsid w:val="00324F9C"/>
    <w:rsid w:val="00352E68"/>
    <w:rsid w:val="00385C6B"/>
    <w:rsid w:val="003A3403"/>
    <w:rsid w:val="003B03E8"/>
    <w:rsid w:val="003C68DC"/>
    <w:rsid w:val="003D42EA"/>
    <w:rsid w:val="003F0876"/>
    <w:rsid w:val="003F29D6"/>
    <w:rsid w:val="004327FE"/>
    <w:rsid w:val="0047351C"/>
    <w:rsid w:val="0048637E"/>
    <w:rsid w:val="004864E8"/>
    <w:rsid w:val="004900E3"/>
    <w:rsid w:val="00494523"/>
    <w:rsid w:val="004A38C2"/>
    <w:rsid w:val="004A7341"/>
    <w:rsid w:val="004C7DE3"/>
    <w:rsid w:val="004D700D"/>
    <w:rsid w:val="004F139D"/>
    <w:rsid w:val="00501878"/>
    <w:rsid w:val="00515641"/>
    <w:rsid w:val="005505CD"/>
    <w:rsid w:val="00570D37"/>
    <w:rsid w:val="0059394F"/>
    <w:rsid w:val="005B4A58"/>
    <w:rsid w:val="005C687A"/>
    <w:rsid w:val="006716A1"/>
    <w:rsid w:val="0067316A"/>
    <w:rsid w:val="006809D4"/>
    <w:rsid w:val="00681A95"/>
    <w:rsid w:val="00684861"/>
    <w:rsid w:val="00697E0A"/>
    <w:rsid w:val="006B39C5"/>
    <w:rsid w:val="006D0B48"/>
    <w:rsid w:val="006E150B"/>
    <w:rsid w:val="007016E1"/>
    <w:rsid w:val="007157A1"/>
    <w:rsid w:val="00715D46"/>
    <w:rsid w:val="00724FDE"/>
    <w:rsid w:val="00735A05"/>
    <w:rsid w:val="00740463"/>
    <w:rsid w:val="007443E9"/>
    <w:rsid w:val="007579CB"/>
    <w:rsid w:val="00761957"/>
    <w:rsid w:val="00793076"/>
    <w:rsid w:val="007A5D16"/>
    <w:rsid w:val="007B1B17"/>
    <w:rsid w:val="0082316B"/>
    <w:rsid w:val="0082376D"/>
    <w:rsid w:val="00831B70"/>
    <w:rsid w:val="00857B95"/>
    <w:rsid w:val="0086015E"/>
    <w:rsid w:val="00893F2C"/>
    <w:rsid w:val="00897041"/>
    <w:rsid w:val="008F65E5"/>
    <w:rsid w:val="00900005"/>
    <w:rsid w:val="009115D0"/>
    <w:rsid w:val="00916325"/>
    <w:rsid w:val="00945536"/>
    <w:rsid w:val="00963379"/>
    <w:rsid w:val="00964F7B"/>
    <w:rsid w:val="00991F20"/>
    <w:rsid w:val="009B018F"/>
    <w:rsid w:val="009B556F"/>
    <w:rsid w:val="009D3358"/>
    <w:rsid w:val="009F5E16"/>
    <w:rsid w:val="009F6986"/>
    <w:rsid w:val="009F6F01"/>
    <w:rsid w:val="00A03228"/>
    <w:rsid w:val="00A2081E"/>
    <w:rsid w:val="00A21D5E"/>
    <w:rsid w:val="00A23DCE"/>
    <w:rsid w:val="00A456FD"/>
    <w:rsid w:val="00AA361D"/>
    <w:rsid w:val="00AC46DE"/>
    <w:rsid w:val="00AE6139"/>
    <w:rsid w:val="00B017E6"/>
    <w:rsid w:val="00B30193"/>
    <w:rsid w:val="00B3421B"/>
    <w:rsid w:val="00B37E2A"/>
    <w:rsid w:val="00B40C82"/>
    <w:rsid w:val="00B659E1"/>
    <w:rsid w:val="00B747D5"/>
    <w:rsid w:val="00B834B4"/>
    <w:rsid w:val="00B83D76"/>
    <w:rsid w:val="00B83F01"/>
    <w:rsid w:val="00B92FEB"/>
    <w:rsid w:val="00BA213F"/>
    <w:rsid w:val="00BA33AC"/>
    <w:rsid w:val="00C00A67"/>
    <w:rsid w:val="00C31CA3"/>
    <w:rsid w:val="00C62663"/>
    <w:rsid w:val="00C64831"/>
    <w:rsid w:val="00C7130F"/>
    <w:rsid w:val="00CA43D4"/>
    <w:rsid w:val="00D3417A"/>
    <w:rsid w:val="00D3708B"/>
    <w:rsid w:val="00D426F7"/>
    <w:rsid w:val="00D42F31"/>
    <w:rsid w:val="00D448DD"/>
    <w:rsid w:val="00D57A9F"/>
    <w:rsid w:val="00D8184C"/>
    <w:rsid w:val="00D85AF4"/>
    <w:rsid w:val="00DE1060"/>
    <w:rsid w:val="00DF3FF2"/>
    <w:rsid w:val="00E07479"/>
    <w:rsid w:val="00E60BBA"/>
    <w:rsid w:val="00E61137"/>
    <w:rsid w:val="00EA2A20"/>
    <w:rsid w:val="00EB038C"/>
    <w:rsid w:val="00EE109A"/>
    <w:rsid w:val="00F55A7E"/>
    <w:rsid w:val="00F6727F"/>
    <w:rsid w:val="00F76268"/>
    <w:rsid w:val="00F768AA"/>
    <w:rsid w:val="00F76CC0"/>
    <w:rsid w:val="00F81773"/>
    <w:rsid w:val="00F829F3"/>
    <w:rsid w:val="00FA50FC"/>
    <w:rsid w:val="00FA6A3E"/>
    <w:rsid w:val="00FB00E7"/>
    <w:rsid w:val="00FC2B39"/>
    <w:rsid w:val="00FC6079"/>
    <w:rsid w:val="00FD1FC6"/>
    <w:rsid w:val="00FD79DC"/>
    <w:rsid w:val="00FE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CE6BDF"/>
  <w15:chartTrackingRefBased/>
  <w15:docId w15:val="{2516E527-64A3-A34D-BD01-E54E7F7B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0F8C"/>
    <w:pPr>
      <w:ind w:left="720"/>
      <w:contextualSpacing/>
    </w:pPr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character" w:styleId="Marquedecommentaire">
    <w:name w:val="annotation reference"/>
    <w:basedOn w:val="Policepardfaut"/>
    <w:uiPriority w:val="99"/>
    <w:semiHidden/>
    <w:unhideWhenUsed/>
    <w:rsid w:val="00F8177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177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177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177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177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6A0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6A09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0E0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8743">
          <w:marLeft w:val="562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1052">
          <w:marLeft w:val="562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0476">
          <w:marLeft w:val="562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762">
          <w:marLeft w:val="562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235">
          <w:marLeft w:val="562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6684">
          <w:marLeft w:val="562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15397">
          <w:marLeft w:val="562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4310">
          <w:marLeft w:val="562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381">
          <w:marLeft w:val="562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5423">
          <w:marLeft w:val="562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630</Words>
  <Characters>3470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Prieur</dc:creator>
  <cp:keywords/>
  <dc:description/>
  <cp:lastModifiedBy>Xavier Prieur</cp:lastModifiedBy>
  <cp:revision>9</cp:revision>
  <dcterms:created xsi:type="dcterms:W3CDTF">2023-11-13T12:27:00Z</dcterms:created>
  <dcterms:modified xsi:type="dcterms:W3CDTF">2024-01-23T18:01:00Z</dcterms:modified>
</cp:coreProperties>
</file>